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5BC73F7">
      <w:pPr>
        <w:keepNext w:val="0"/>
        <w:keepLines w:val="0"/>
        <w:pageBreakBefore w:val="0"/>
        <w:widowControl w:val="0"/>
        <w:kinsoku/>
        <w:wordWrap/>
        <w:overflowPunct/>
        <w:topLinePunct w:val="0"/>
        <w:autoSpaceDE/>
        <w:autoSpaceDN/>
        <w:bidi w:val="0"/>
        <w:adjustRightInd/>
        <w:snapToGrid/>
        <w:spacing w:before="0" w:after="0" w:line="240" w:lineRule="auto"/>
        <w:ind w:firstLine="0" w:firstLineChars="0"/>
        <w:jc w:val="center"/>
        <w:textAlignment w:val="auto"/>
        <w:rPr>
          <w:rFonts w:hint="default" w:ascii="Times New Roman" w:hAnsi="Times New Roman" w:eastAsia="黑体" w:cs="Times New Roman"/>
          <w:b/>
          <w:bCs/>
          <w:kern w:val="0"/>
          <w:sz w:val="44"/>
          <w:szCs w:val="44"/>
          <w:lang w:eastAsia="zh-CN" w:bidi="ar"/>
        </w:rPr>
      </w:pPr>
      <w:bookmarkStart w:id="0" w:name="_Hlk535245579"/>
    </w:p>
    <w:p w14:paraId="2D47EC66">
      <w:pPr>
        <w:keepNext w:val="0"/>
        <w:keepLines w:val="0"/>
        <w:pageBreakBefore w:val="0"/>
        <w:widowControl w:val="0"/>
        <w:kinsoku/>
        <w:wordWrap/>
        <w:overflowPunct/>
        <w:topLinePunct w:val="0"/>
        <w:autoSpaceDE/>
        <w:autoSpaceDN/>
        <w:bidi w:val="0"/>
        <w:adjustRightInd/>
        <w:snapToGrid/>
        <w:spacing w:line="480" w:lineRule="auto"/>
        <w:ind w:firstLine="0" w:firstLineChars="0"/>
        <w:jc w:val="center"/>
        <w:textAlignment w:val="auto"/>
        <w:rPr>
          <w:rFonts w:hint="default" w:ascii="Times New Roman" w:hAnsi="Times New Roman" w:eastAsia="黑体" w:cs="Times New Roman"/>
          <w:b/>
          <w:bCs/>
          <w:sz w:val="48"/>
          <w:szCs w:val="48"/>
          <w:lang w:eastAsia="zh-CN"/>
        </w:rPr>
      </w:pPr>
      <w:r>
        <w:rPr>
          <w:rFonts w:hint="eastAsia" w:ascii="Times New Roman" w:hAnsi="Times New Roman" w:eastAsia="黑体" w:cs="Times New Roman"/>
          <w:b/>
          <w:bCs/>
          <w:sz w:val="48"/>
          <w:szCs w:val="48"/>
          <w:lang w:eastAsia="zh-CN"/>
        </w:rPr>
        <w:t>炉霍县现代农业特色产业示范基地建设项目（一期）</w:t>
      </w:r>
    </w:p>
    <w:p w14:paraId="4CE9DFAB">
      <w:pPr>
        <w:keepNext w:val="0"/>
        <w:keepLines w:val="0"/>
        <w:pageBreakBefore w:val="0"/>
        <w:widowControl w:val="0"/>
        <w:kinsoku/>
        <w:wordWrap/>
        <w:overflowPunct/>
        <w:topLinePunct w:val="0"/>
        <w:autoSpaceDE/>
        <w:autoSpaceDN/>
        <w:bidi w:val="0"/>
        <w:adjustRightInd/>
        <w:snapToGrid/>
        <w:spacing w:line="480" w:lineRule="auto"/>
        <w:ind w:firstLine="0" w:firstLineChars="0"/>
        <w:jc w:val="center"/>
        <w:textAlignment w:val="auto"/>
        <w:rPr>
          <w:rFonts w:hint="default" w:ascii="Times New Roman" w:hAnsi="Times New Roman" w:eastAsia="黑体" w:cs="Times New Roman"/>
          <w:b/>
          <w:bCs/>
          <w:sz w:val="48"/>
          <w:szCs w:val="48"/>
          <w:lang w:eastAsia="zh-CN"/>
        </w:rPr>
      </w:pPr>
      <w:r>
        <w:rPr>
          <w:rFonts w:hint="default" w:ascii="Times New Roman" w:hAnsi="Times New Roman" w:eastAsia="黑体" w:cs="Times New Roman"/>
          <w:b/>
          <w:bCs/>
          <w:sz w:val="48"/>
          <w:szCs w:val="48"/>
          <w:lang w:eastAsia="zh-CN"/>
        </w:rPr>
        <w:t>收益与融资自求平衡专项债券</w:t>
      </w:r>
    </w:p>
    <w:p w14:paraId="648BBAB8">
      <w:pPr>
        <w:ind w:firstLine="1044"/>
        <w:jc w:val="center"/>
        <w:rPr>
          <w:rFonts w:hint="default" w:ascii="Times New Roman" w:hAnsi="Times New Roman" w:eastAsia="黑体" w:cs="Times New Roman"/>
          <w:b/>
          <w:bCs/>
          <w:sz w:val="52"/>
          <w:szCs w:val="52"/>
        </w:rPr>
      </w:pPr>
    </w:p>
    <w:p w14:paraId="351462ED">
      <w:pPr>
        <w:ind w:firstLine="1044"/>
        <w:jc w:val="center"/>
        <w:rPr>
          <w:rFonts w:hint="default" w:ascii="Times New Roman" w:hAnsi="Times New Roman" w:eastAsia="黑体" w:cs="Times New Roman"/>
          <w:b/>
          <w:bCs/>
          <w:sz w:val="52"/>
          <w:szCs w:val="52"/>
        </w:rPr>
      </w:pPr>
    </w:p>
    <w:p w14:paraId="6E7570E0">
      <w:pPr>
        <w:pStyle w:val="16"/>
        <w:rPr>
          <w:rFonts w:hint="default" w:ascii="Times New Roman" w:hAnsi="Times New Roman" w:eastAsia="黑体" w:cs="Times New Roman"/>
          <w:b/>
          <w:bCs/>
          <w:sz w:val="52"/>
          <w:szCs w:val="52"/>
        </w:rPr>
      </w:pPr>
    </w:p>
    <w:p w14:paraId="059F04CE">
      <w:pPr>
        <w:pStyle w:val="16"/>
        <w:rPr>
          <w:rFonts w:hint="default" w:ascii="Times New Roman" w:hAnsi="Times New Roman" w:eastAsia="黑体" w:cs="Times New Roman"/>
          <w:b/>
          <w:bCs/>
          <w:sz w:val="52"/>
          <w:szCs w:val="52"/>
        </w:rPr>
      </w:pPr>
    </w:p>
    <w:p w14:paraId="30FCCE48">
      <w:pPr>
        <w:pStyle w:val="7"/>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cs="Times New Roman"/>
        </w:rPr>
      </w:pPr>
      <w:r>
        <w:rPr>
          <w:rFonts w:hint="eastAsia" w:ascii="Times New Roman" w:hAnsi="Times New Roman" w:eastAsia="方正小标宋简体" w:cs="Times New Roman"/>
          <w:sz w:val="44"/>
          <w:szCs w:val="44"/>
        </w:rPr>
        <w:t>（信息披露）</w:t>
      </w:r>
    </w:p>
    <w:p w14:paraId="5CE7CB01">
      <w:pPr>
        <w:pStyle w:val="7"/>
        <w:ind w:left="-140" w:right="-140"/>
        <w:rPr>
          <w:rFonts w:hint="default" w:ascii="Times New Roman" w:hAnsi="Times New Roman" w:cs="Times New Roman"/>
        </w:rPr>
      </w:pPr>
    </w:p>
    <w:p w14:paraId="4166C100">
      <w:pPr>
        <w:ind w:firstLine="0" w:firstLineChars="0"/>
        <w:jc w:val="center"/>
        <w:rPr>
          <w:rFonts w:hint="default" w:ascii="Times New Roman" w:hAnsi="Times New Roman" w:eastAsia="黑体" w:cs="Times New Roman"/>
          <w:sz w:val="32"/>
          <w:szCs w:val="32"/>
          <w:lang w:val="en-US" w:eastAsia="zh-CN"/>
        </w:rPr>
      </w:pPr>
    </w:p>
    <w:p w14:paraId="525C2141">
      <w:pPr>
        <w:pStyle w:val="16"/>
        <w:rPr>
          <w:rFonts w:hint="default" w:ascii="Times New Roman" w:hAnsi="Times New Roman" w:eastAsia="黑体" w:cs="Times New Roman"/>
          <w:sz w:val="32"/>
          <w:szCs w:val="32"/>
          <w:lang w:val="en-US" w:eastAsia="zh-CN"/>
        </w:rPr>
      </w:pPr>
    </w:p>
    <w:p w14:paraId="6F2E339A">
      <w:pPr>
        <w:pStyle w:val="16"/>
        <w:rPr>
          <w:rFonts w:hint="default" w:ascii="Times New Roman" w:hAnsi="Times New Roman" w:eastAsia="黑体" w:cs="Times New Roman"/>
          <w:sz w:val="32"/>
          <w:szCs w:val="32"/>
          <w:lang w:val="en-US" w:eastAsia="zh-CN"/>
        </w:rPr>
      </w:pPr>
    </w:p>
    <w:p w14:paraId="44EE2D27">
      <w:pPr>
        <w:pStyle w:val="16"/>
        <w:rPr>
          <w:rFonts w:hint="default" w:ascii="Times New Roman" w:hAnsi="Times New Roman" w:eastAsia="黑体" w:cs="Times New Roman"/>
          <w:sz w:val="32"/>
          <w:szCs w:val="32"/>
          <w:lang w:val="en-US" w:eastAsia="zh-CN"/>
        </w:rPr>
      </w:pPr>
    </w:p>
    <w:p w14:paraId="34E46BCD">
      <w:pPr>
        <w:keepNext w:val="0"/>
        <w:keepLines w:val="0"/>
        <w:pageBreakBefore w:val="0"/>
        <w:widowControl w:val="0"/>
        <w:kinsoku/>
        <w:wordWrap/>
        <w:overflowPunct/>
        <w:topLinePunct w:val="0"/>
        <w:autoSpaceDE/>
        <w:autoSpaceDN/>
        <w:bidi w:val="0"/>
        <w:adjustRightInd/>
        <w:snapToGrid/>
        <w:spacing w:after="380" w:line="360" w:lineRule="auto"/>
        <w:ind w:firstLine="0" w:firstLineChars="0"/>
        <w:jc w:val="center"/>
        <w:textAlignment w:val="auto"/>
        <w:rPr>
          <w:rFonts w:hint="default" w:ascii="Times New Roman" w:hAnsi="Times New Roman" w:eastAsia="黑体" w:cs="Times New Roman"/>
          <w:sz w:val="32"/>
          <w:szCs w:val="32"/>
          <w:lang w:val="en-US" w:eastAsia="zh-CN"/>
        </w:rPr>
      </w:pPr>
      <w:r>
        <w:rPr>
          <w:rFonts w:hint="default" w:ascii="Times New Roman" w:hAnsi="Times New Roman" w:eastAsia="黑体" w:cs="Times New Roman"/>
          <w:sz w:val="32"/>
          <w:szCs w:val="32"/>
        </w:rPr>
        <w:t>财政部门：</w:t>
      </w:r>
      <w:r>
        <w:rPr>
          <w:rFonts w:hint="eastAsia" w:ascii="Times New Roman" w:hAnsi="Times New Roman" w:eastAsia="黑体" w:cs="Times New Roman"/>
          <w:sz w:val="32"/>
          <w:szCs w:val="32"/>
          <w:lang w:val="en-US" w:eastAsia="zh-CN"/>
        </w:rPr>
        <w:t>炉霍县</w:t>
      </w:r>
      <w:r>
        <w:rPr>
          <w:rFonts w:hint="default" w:ascii="Times New Roman" w:hAnsi="Times New Roman" w:eastAsia="黑体" w:cs="Times New Roman"/>
          <w:sz w:val="32"/>
          <w:szCs w:val="32"/>
          <w:lang w:val="en-US" w:eastAsia="zh-CN"/>
        </w:rPr>
        <w:t>财政局</w:t>
      </w:r>
    </w:p>
    <w:p w14:paraId="1BE1B8B3">
      <w:pPr>
        <w:keepNext w:val="0"/>
        <w:keepLines w:val="0"/>
        <w:pageBreakBefore w:val="0"/>
        <w:widowControl w:val="0"/>
        <w:kinsoku/>
        <w:wordWrap/>
        <w:overflowPunct/>
        <w:topLinePunct w:val="0"/>
        <w:autoSpaceDE/>
        <w:autoSpaceDN/>
        <w:bidi w:val="0"/>
        <w:adjustRightInd/>
        <w:snapToGrid/>
        <w:spacing w:after="380" w:line="360" w:lineRule="auto"/>
        <w:ind w:firstLine="0" w:firstLineChars="0"/>
        <w:jc w:val="center"/>
        <w:textAlignment w:val="auto"/>
        <w:rPr>
          <w:rFonts w:hint="default" w:ascii="Times New Roman" w:hAnsi="Times New Roman" w:eastAsia="黑体" w:cs="Times New Roman"/>
          <w:sz w:val="32"/>
          <w:szCs w:val="32"/>
          <w:lang w:val="en-US" w:eastAsia="zh-CN"/>
        </w:rPr>
      </w:pPr>
      <w:r>
        <w:rPr>
          <w:rFonts w:hint="eastAsia" w:ascii="Times New Roman" w:hAnsi="Times New Roman" w:eastAsia="黑体" w:cs="Times New Roman"/>
          <w:sz w:val="32"/>
          <w:szCs w:val="32"/>
          <w:lang w:val="en-US" w:eastAsia="zh-CN"/>
        </w:rPr>
        <w:t>发改部门：炉霍县发展和改革局</w:t>
      </w:r>
    </w:p>
    <w:p w14:paraId="1863C4C1">
      <w:pPr>
        <w:keepNext w:val="0"/>
        <w:keepLines w:val="0"/>
        <w:pageBreakBefore w:val="0"/>
        <w:widowControl w:val="0"/>
        <w:kinsoku/>
        <w:wordWrap/>
        <w:overflowPunct/>
        <w:topLinePunct w:val="0"/>
        <w:autoSpaceDE/>
        <w:autoSpaceDN/>
        <w:bidi w:val="0"/>
        <w:adjustRightInd/>
        <w:snapToGrid/>
        <w:spacing w:after="380" w:line="360" w:lineRule="auto"/>
        <w:ind w:firstLine="0" w:firstLineChars="0"/>
        <w:jc w:val="center"/>
        <w:textAlignment w:val="auto"/>
        <w:rPr>
          <w:rFonts w:hint="default" w:ascii="Times New Roman" w:hAnsi="Times New Roman" w:eastAsia="黑体" w:cs="Times New Roman"/>
          <w:sz w:val="32"/>
          <w:szCs w:val="32"/>
          <w:lang w:val="en-US" w:eastAsia="zh-CN"/>
        </w:rPr>
      </w:pPr>
      <w:r>
        <w:rPr>
          <w:rFonts w:hint="default" w:ascii="Times New Roman" w:hAnsi="Times New Roman" w:eastAsia="黑体" w:cs="Times New Roman"/>
          <w:sz w:val="32"/>
          <w:szCs w:val="32"/>
          <w:lang w:val="en-US" w:eastAsia="zh-CN"/>
        </w:rPr>
        <w:t>实施机构：</w:t>
      </w:r>
      <w:r>
        <w:rPr>
          <w:rFonts w:hint="eastAsia" w:eastAsia="黑体" w:cs="黑体"/>
          <w:caps w:val="0"/>
          <w:color w:val="auto"/>
          <w:sz w:val="32"/>
          <w:szCs w:val="32"/>
          <w:lang w:val="en-US" w:eastAsia="zh-CN"/>
        </w:rPr>
        <w:t>炉霍县农牧农村和科技局</w:t>
      </w:r>
    </w:p>
    <w:p w14:paraId="22D90749">
      <w:pPr>
        <w:keepNext w:val="0"/>
        <w:keepLines w:val="0"/>
        <w:pageBreakBefore w:val="0"/>
        <w:widowControl w:val="0"/>
        <w:kinsoku/>
        <w:wordWrap/>
        <w:overflowPunct/>
        <w:topLinePunct w:val="0"/>
        <w:autoSpaceDE/>
        <w:autoSpaceDN/>
        <w:bidi w:val="0"/>
        <w:adjustRightInd/>
        <w:snapToGrid/>
        <w:spacing w:after="380" w:line="360" w:lineRule="auto"/>
        <w:ind w:firstLine="0" w:firstLineChars="0"/>
        <w:jc w:val="center"/>
        <w:textAlignment w:val="auto"/>
        <w:rPr>
          <w:rFonts w:hint="default" w:ascii="Times New Roman" w:hAnsi="Times New Roman" w:eastAsia="黑体" w:cs="Times New Roman"/>
          <w:sz w:val="32"/>
          <w:szCs w:val="32"/>
          <w:lang w:val="en-US" w:eastAsia="zh-CN"/>
        </w:rPr>
      </w:pPr>
      <w:r>
        <w:rPr>
          <w:rFonts w:hint="default" w:ascii="Times New Roman" w:hAnsi="Times New Roman" w:eastAsia="黑体" w:cs="Times New Roman"/>
          <w:sz w:val="32"/>
          <w:szCs w:val="32"/>
          <w:lang w:val="en-US" w:eastAsia="zh-CN"/>
        </w:rPr>
        <w:t>业主单位：</w:t>
      </w:r>
      <w:r>
        <w:rPr>
          <w:rFonts w:hint="eastAsia" w:eastAsia="黑体" w:cs="黑体"/>
          <w:caps w:val="0"/>
          <w:color w:val="auto"/>
          <w:sz w:val="32"/>
          <w:szCs w:val="32"/>
          <w:lang w:val="en-US" w:eastAsia="zh-CN"/>
        </w:rPr>
        <w:t>炉霍县农牧农村和科技局</w:t>
      </w:r>
    </w:p>
    <w:p w14:paraId="30D49D22">
      <w:pPr>
        <w:spacing w:line="560" w:lineRule="exact"/>
        <w:jc w:val="center"/>
        <w:rPr>
          <w:rFonts w:hint="eastAsia" w:ascii="方正小标宋简体" w:eastAsia="方正小标宋简体"/>
          <w:sz w:val="28"/>
          <w:szCs w:val="28"/>
        </w:rPr>
        <w:sectPr>
          <w:pgSz w:w="11906" w:h="16838"/>
          <w:pgMar w:top="1440" w:right="1800" w:bottom="1440" w:left="1800" w:header="851" w:footer="992" w:gutter="0"/>
          <w:pgNumType w:fmt="numberInDash"/>
          <w:cols w:space="720" w:num="1"/>
          <w:docGrid w:type="lines" w:linePitch="312" w:charSpace="0"/>
        </w:sectPr>
      </w:pPr>
      <w:r>
        <w:rPr>
          <w:rFonts w:hint="default" w:ascii="Times New Roman" w:hAnsi="Times New Roman" w:eastAsia="黑体" w:cs="Times New Roman"/>
          <w:sz w:val="32"/>
          <w:szCs w:val="32"/>
        </w:rPr>
        <w:t>时间：202</w:t>
      </w:r>
      <w:r>
        <w:rPr>
          <w:rFonts w:hint="default" w:ascii="Times New Roman" w:hAnsi="Times New Roman" w:eastAsia="黑体" w:cs="Times New Roman"/>
          <w:sz w:val="32"/>
          <w:szCs w:val="32"/>
          <w:lang w:val="en-US" w:eastAsia="zh-CN"/>
        </w:rPr>
        <w:t>5</w:t>
      </w:r>
      <w:r>
        <w:rPr>
          <w:rFonts w:hint="default" w:ascii="Times New Roman" w:hAnsi="Times New Roman" w:eastAsia="黑体" w:cs="Times New Roman"/>
          <w:sz w:val="32"/>
          <w:szCs w:val="32"/>
        </w:rPr>
        <w:t>年</w:t>
      </w:r>
      <w:r>
        <w:rPr>
          <w:rFonts w:hint="eastAsia" w:ascii="Times New Roman" w:hAnsi="Times New Roman" w:eastAsia="黑体" w:cs="Times New Roman"/>
          <w:sz w:val="32"/>
          <w:szCs w:val="32"/>
          <w:lang w:val="en-US" w:eastAsia="zh-CN"/>
        </w:rPr>
        <w:t>8</w:t>
      </w:r>
      <w:r>
        <w:rPr>
          <w:rFonts w:hint="default" w:ascii="Times New Roman" w:hAnsi="Times New Roman" w:eastAsia="黑体" w:cs="Times New Roman"/>
          <w:sz w:val="32"/>
          <w:szCs w:val="32"/>
        </w:rPr>
        <w:t>月</w:t>
      </w:r>
    </w:p>
    <w:p w14:paraId="600E1A65">
      <w:pPr>
        <w:spacing w:line="560" w:lineRule="exact"/>
        <w:rPr>
          <w:rFonts w:hint="eastAsia" w:ascii="方正小标宋简体" w:eastAsia="方正小标宋简体"/>
          <w:sz w:val="28"/>
          <w:szCs w:val="28"/>
        </w:rPr>
      </w:pPr>
      <w:r>
        <w:rPr>
          <w:rFonts w:hint="eastAsia" w:ascii="方正小标宋简体" w:eastAsia="方正小标宋简体"/>
          <w:sz w:val="28"/>
          <w:szCs w:val="28"/>
        </w:rPr>
        <w:t>附件1</w:t>
      </w:r>
    </w:p>
    <w:p w14:paraId="3BEE298F">
      <w:pPr>
        <w:spacing w:line="560" w:lineRule="exact"/>
        <w:jc w:val="center"/>
        <w:rPr>
          <w:rFonts w:hint="eastAsia" w:ascii="方正小标宋简体" w:eastAsia="方正小标宋简体"/>
          <w:sz w:val="44"/>
          <w:szCs w:val="44"/>
        </w:rPr>
      </w:pPr>
      <w:r>
        <w:rPr>
          <w:rFonts w:hint="eastAsia" w:ascii="方正小标宋简体" w:eastAsia="方正小标宋简体"/>
          <w:sz w:val="44"/>
          <w:szCs w:val="44"/>
          <w:lang w:val="en-US" w:eastAsia="zh-CN"/>
        </w:rPr>
        <w:t>炉霍县现代农业特色产业示范基地建设项目（一期）</w:t>
      </w:r>
      <w:r>
        <w:rPr>
          <w:rFonts w:hint="eastAsia" w:ascii="方正小标宋简体" w:eastAsia="方正小标宋简体"/>
          <w:sz w:val="44"/>
          <w:szCs w:val="44"/>
        </w:rPr>
        <w:t>项目</w:t>
      </w:r>
      <w:bookmarkEnd w:id="0"/>
      <w:r>
        <w:rPr>
          <w:rFonts w:hint="eastAsia" w:ascii="方正小标宋简体" w:eastAsia="方正小标宋简体"/>
          <w:sz w:val="44"/>
          <w:szCs w:val="44"/>
        </w:rPr>
        <w:t>情况</w:t>
      </w:r>
    </w:p>
    <w:p w14:paraId="4F49E18D">
      <w:pPr>
        <w:spacing w:line="560" w:lineRule="exact"/>
        <w:ind w:firstLine="640" w:firstLineChars="200"/>
        <w:rPr>
          <w:rFonts w:ascii="仿宋_GB2312" w:eastAsia="仿宋_GB2312"/>
          <w:sz w:val="32"/>
          <w:szCs w:val="32"/>
        </w:rPr>
      </w:pPr>
    </w:p>
    <w:p w14:paraId="4EECE164">
      <w:pPr>
        <w:spacing w:line="560" w:lineRule="exact"/>
        <w:ind w:firstLine="640" w:firstLineChars="200"/>
        <w:rPr>
          <w:rFonts w:ascii="黑体" w:hAnsi="黑体" w:eastAsia="黑体"/>
          <w:sz w:val="32"/>
          <w:szCs w:val="32"/>
        </w:rPr>
      </w:pPr>
      <w:r>
        <w:rPr>
          <w:rFonts w:hint="eastAsia" w:ascii="黑体" w:hAnsi="黑体" w:eastAsia="黑体"/>
          <w:sz w:val="32"/>
          <w:szCs w:val="32"/>
        </w:rPr>
        <w:t>一、项目基本情况</w:t>
      </w:r>
    </w:p>
    <w:p w14:paraId="00BCD9D6">
      <w:pPr>
        <w:spacing w:line="560" w:lineRule="exact"/>
        <w:ind w:firstLine="643" w:firstLineChars="200"/>
        <w:rPr>
          <w:rFonts w:hint="eastAsia" w:ascii="楷体_GB2312" w:eastAsia="楷体_GB2312"/>
          <w:b/>
          <w:sz w:val="32"/>
          <w:szCs w:val="32"/>
        </w:rPr>
      </w:pPr>
      <w:r>
        <w:rPr>
          <w:rFonts w:hint="eastAsia" w:ascii="楷体_GB2312" w:eastAsia="楷体_GB2312"/>
          <w:b/>
          <w:sz w:val="32"/>
          <w:szCs w:val="32"/>
        </w:rPr>
        <w:t>（一）</w:t>
      </w:r>
      <w:r>
        <w:rPr>
          <w:rFonts w:hint="eastAsia" w:ascii="楷体_GB2312" w:eastAsia="楷体_GB2312"/>
          <w:b/>
          <w:sz w:val="32"/>
          <w:szCs w:val="32"/>
          <w:lang w:val="en-US" w:eastAsia="zh-CN"/>
        </w:rPr>
        <w:t>州</w:t>
      </w:r>
      <w:r>
        <w:rPr>
          <w:rFonts w:hint="eastAsia" w:ascii="楷体_GB2312" w:eastAsia="楷体_GB2312"/>
          <w:b/>
          <w:sz w:val="32"/>
          <w:szCs w:val="32"/>
        </w:rPr>
        <w:t>县及行业专项规划概况</w:t>
      </w:r>
    </w:p>
    <w:p w14:paraId="4C39846D">
      <w:pPr>
        <w:pStyle w:val="15"/>
        <w:pageBreakBefore w:val="0"/>
        <w:kinsoku/>
        <w:wordWrap/>
        <w:overflowPunct/>
        <w:topLinePunct w:val="0"/>
        <w:autoSpaceDE/>
        <w:autoSpaceDN/>
        <w:bidi w:val="0"/>
        <w:adjustRightInd/>
        <w:snapToGrid/>
        <w:spacing w:before="0" w:after="0" w:line="360" w:lineRule="auto"/>
        <w:ind w:firstLine="640" w:firstLineChars="200"/>
        <w:jc w:val="both"/>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w:t>
      </w:r>
      <w:bookmarkStart w:id="1" w:name="_Toc18938"/>
      <w:r>
        <w:rPr>
          <w:rFonts w:hint="eastAsia" w:ascii="仿宋_GB2312" w:hAnsi="仿宋_GB2312" w:eastAsia="仿宋_GB2312" w:cs="仿宋_GB2312"/>
          <w:sz w:val="32"/>
          <w:szCs w:val="32"/>
          <w:highlight w:val="none"/>
          <w:lang w:val="en-US" w:eastAsia="zh-CN"/>
        </w:rPr>
        <w:t>社会发展现状</w:t>
      </w:r>
      <w:bookmarkEnd w:id="1"/>
      <w:bookmarkStart w:id="2" w:name="ref_[1]_14685624"/>
    </w:p>
    <w:bookmarkEnd w:id="2"/>
    <w:p w14:paraId="1AC57E8C">
      <w:pPr>
        <w:pStyle w:val="15"/>
        <w:pageBreakBefore w:val="0"/>
        <w:kinsoku/>
        <w:wordWrap/>
        <w:overflowPunct/>
        <w:topLinePunct w:val="0"/>
        <w:autoSpaceDE/>
        <w:autoSpaceDN/>
        <w:bidi w:val="0"/>
        <w:adjustRightInd/>
        <w:snapToGrid/>
        <w:spacing w:before="0" w:after="0" w:line="360" w:lineRule="auto"/>
        <w:ind w:firstLine="640" w:firstLineChars="200"/>
        <w:jc w:val="both"/>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炉霍县地处川西高原与山原的接触地带，介于北纬31°00′～31°51′和东经100°10′～101°13′之间，西南与新龙县接壤，北面毗邻色达县，东北则与阿坝州的壤塘、金川两县相邻。距成都654千米，距康定291千米，总面积5796.64平方千米。</w:t>
      </w:r>
    </w:p>
    <w:p w14:paraId="5BE16858">
      <w:pPr>
        <w:pStyle w:val="15"/>
        <w:pageBreakBefore w:val="0"/>
        <w:kinsoku/>
        <w:wordWrap/>
        <w:overflowPunct/>
        <w:topLinePunct w:val="0"/>
        <w:autoSpaceDE/>
        <w:autoSpaceDN/>
        <w:bidi w:val="0"/>
        <w:adjustRightInd/>
        <w:snapToGrid/>
        <w:spacing w:before="0" w:after="0" w:line="360" w:lineRule="auto"/>
        <w:ind w:firstLine="640" w:firstLineChars="200"/>
        <w:jc w:val="both"/>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炉霍县地势西北高、东南低，山脉河流走向多是由西北向东南，牟尼芒起山自北部延伸入境。处于鲜水河断裂带，县内平均海拔3860米。最高点为旦都喀雪山，海拔5484米，终年白雪皑皑，高山地貌特征极为明显；最低点为仁达乡扒里村，海拔3050米。</w:t>
      </w:r>
    </w:p>
    <w:p w14:paraId="0E5E8986">
      <w:pPr>
        <w:pStyle w:val="15"/>
        <w:pageBreakBefore w:val="0"/>
        <w:kinsoku/>
        <w:wordWrap/>
        <w:overflowPunct/>
        <w:topLinePunct w:val="0"/>
        <w:autoSpaceDE/>
        <w:autoSpaceDN/>
        <w:bidi w:val="0"/>
        <w:adjustRightInd/>
        <w:snapToGrid/>
        <w:spacing w:before="0" w:after="0" w:line="360" w:lineRule="auto"/>
        <w:ind w:firstLine="640" w:firstLineChars="200"/>
        <w:jc w:val="both"/>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炉霍县总的气候类型属高原寒温带大陆性季风气候，气候特点是垂直分布变化明显，但也有区域性差异。全县地形相对高差大，垂直变异显著；立体地貌景观突出，气候基带属山地寒温带气候，并随海拔增高而依次过渡为山地亚寒带→山地寒带→极高山冰冻带等不同4条垂直气候带谱，2020年平均气温约6.2℃，年总降水量约695.7毫米，年日照总时数为约2256.4小时。</w:t>
      </w:r>
    </w:p>
    <w:p w14:paraId="55B795F0">
      <w:pPr>
        <w:pStyle w:val="15"/>
        <w:pageBreakBefore w:val="0"/>
        <w:kinsoku/>
        <w:wordWrap/>
        <w:overflowPunct/>
        <w:topLinePunct w:val="0"/>
        <w:autoSpaceDE/>
        <w:autoSpaceDN/>
        <w:bidi w:val="0"/>
        <w:adjustRightInd/>
        <w:snapToGrid/>
        <w:spacing w:before="0" w:after="0" w:line="360" w:lineRule="auto"/>
        <w:ind w:firstLine="640" w:firstLineChars="200"/>
        <w:jc w:val="both"/>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2010年，炉霍县有317国道贯通全境，已完成川藏北线炉色通县油路、三县联网络共181千米，红罗路线按山重四级标准改造，川藏317线从东南至西北贯通全境，历为去藏抵青之要衢和茶马古道之重镇。交通建设投入资金3,916万元，完成通乡油路建设37.8千米，通村公路建设120.2千米。</w:t>
      </w:r>
    </w:p>
    <w:p w14:paraId="7A72F697">
      <w:pPr>
        <w:pStyle w:val="15"/>
        <w:pageBreakBefore w:val="0"/>
        <w:kinsoku/>
        <w:wordWrap/>
        <w:overflowPunct/>
        <w:topLinePunct w:val="0"/>
        <w:autoSpaceDE/>
        <w:autoSpaceDN/>
        <w:bidi w:val="0"/>
        <w:adjustRightInd/>
        <w:snapToGrid/>
        <w:spacing w:before="0" w:after="0" w:line="360" w:lineRule="auto"/>
        <w:ind w:firstLine="640" w:firstLineChars="200"/>
        <w:jc w:val="both"/>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2.经济发展现状</w:t>
      </w:r>
      <w:bookmarkStart w:id="3" w:name="sub1550807_3"/>
      <w:bookmarkEnd w:id="3"/>
      <w:bookmarkStart w:id="4" w:name="行政区划"/>
      <w:bookmarkEnd w:id="4"/>
      <w:bookmarkStart w:id="5" w:name="3"/>
      <w:bookmarkEnd w:id="5"/>
      <w:bookmarkStart w:id="6" w:name="_Toc26494"/>
    </w:p>
    <w:bookmarkEnd w:id="6"/>
    <w:p w14:paraId="284F1EB5">
      <w:pPr>
        <w:pStyle w:val="15"/>
        <w:pageBreakBefore w:val="0"/>
        <w:kinsoku/>
        <w:wordWrap/>
        <w:overflowPunct/>
        <w:topLinePunct w:val="0"/>
        <w:autoSpaceDE/>
        <w:autoSpaceDN/>
        <w:bidi w:val="0"/>
        <w:adjustRightInd/>
        <w:snapToGrid/>
        <w:spacing w:before="0" w:after="0" w:line="360" w:lineRule="auto"/>
        <w:ind w:firstLine="640" w:firstLineChars="200"/>
        <w:jc w:val="both"/>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2022年实现地区生产总值14.5亿元，增长（同比，下同）6%。工业增加值1.21亿元，增长6%，其中：规模以上工业增加值增长5%。全社会固定资产投资8.51亿元，增长27.4%。社会消费品零售总额4.98亿元，与上年持平。一般公共预算收入0.65亿元，增长24.5%。城镇居民人均可支配收入36,468元，增长8.7%。农村居民人均可支配收入15,460元，增长10%。</w:t>
      </w:r>
    </w:p>
    <w:p w14:paraId="14885514">
      <w:pPr>
        <w:pStyle w:val="15"/>
        <w:pageBreakBefore w:val="0"/>
        <w:kinsoku/>
        <w:wordWrap/>
        <w:overflowPunct/>
        <w:topLinePunct w:val="0"/>
        <w:autoSpaceDE/>
        <w:autoSpaceDN/>
        <w:bidi w:val="0"/>
        <w:adjustRightInd/>
        <w:snapToGrid/>
        <w:spacing w:before="0" w:after="0" w:line="360" w:lineRule="auto"/>
        <w:ind w:firstLine="640" w:firstLineChars="200"/>
        <w:jc w:val="both"/>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2022年整治撂荒地688.61亩，完成粮食播面5.52万亩，在今年极端干旱天气下，粮食总产达10306吨，实现了稳产增收。投入500万元建设优质青稞基地4.5万亩，平均亩产370斤，同比增长3.9%。现代农业产业园区种植各类蔬菜3000亩，年产量达5174吨，实现产值5,449.8万元，联农带农机制更加凸显。围绕“亚克甘孜”牦牛产业集群建设，制定《炉霍县牦牛产业集群建设方案（2022年—2024年）》，全州牧区现场会炉霍点位成功举办。培育农业专业合作社、家庭农场5个。出栏牲畜30924头，较2021年增加1386头，2022年前三季度牲畜总增率、出栏率、商品率同期分别增长22.7%、2%、45.5%，产业发展态势持续向好。</w:t>
      </w:r>
    </w:p>
    <w:p w14:paraId="6DE39B55">
      <w:pPr>
        <w:pageBreakBefore w:val="0"/>
        <w:kinsoku/>
        <w:wordWrap/>
        <w:overflowPunct/>
        <w:topLinePunct w:val="0"/>
        <w:autoSpaceDE/>
        <w:autoSpaceDN/>
        <w:bidi w:val="0"/>
        <w:adjustRightInd/>
        <w:snapToGrid/>
        <w:spacing w:line="360" w:lineRule="auto"/>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2022年完成规上工业增加值8,548.82万元，其中康巴圣德牦牛有限公司实现产值2500万元，酪蛋白产品全省首次出口韩国，创汇2.14万美元，贡唐岗光伏电站实现产值6,048.82万元。通过积极向上争取，实现应调尽调、应纳尽纳，可开发光伏资源由40万千瓦调增为135万千瓦。积极探索“飞地”模式，走新能源发展之路，与峨眉山嘉美、中自科技达成意向性合作，江苏美科、广东莱尔科技、金利来碳素3个项目成功落地甘眉工业园区，总投资46.5亿元，预计将实现分税7,000万元，入驻甘眉工业园区企业居全州首位，工业量小质弱的现状得到进一步改善。</w:t>
      </w:r>
    </w:p>
    <w:p w14:paraId="7D0955EF">
      <w:pPr>
        <w:pageBreakBefore w:val="0"/>
        <w:numPr>
          <w:ilvl w:val="0"/>
          <w:numId w:val="0"/>
        </w:numPr>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kern w:val="2"/>
          <w:sz w:val="32"/>
          <w:szCs w:val="32"/>
          <w:lang w:val="en-US" w:eastAsia="zh-CN" w:bidi="ar-SA"/>
        </w:rPr>
        <w:t>3.政策规划</w:t>
      </w:r>
    </w:p>
    <w:p w14:paraId="0B3D6158">
      <w:pPr>
        <w:pageBreakBefore w:val="0"/>
        <w:kinsoku/>
        <w:wordWrap/>
        <w:overflowPunct/>
        <w:topLinePunct w:val="0"/>
        <w:autoSpaceDE/>
        <w:autoSpaceDN/>
        <w:bidi w:val="0"/>
        <w:adjustRightInd/>
        <w:snapToGrid/>
        <w:spacing w:line="360" w:lineRule="auto"/>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（1）《中共中央、国务院关于实施乡村振兴战略的意见》</w:t>
      </w:r>
    </w:p>
    <w:p w14:paraId="5151764A">
      <w:pPr>
        <w:pageBreakBefore w:val="0"/>
        <w:kinsoku/>
        <w:wordWrap/>
        <w:overflowPunct/>
        <w:topLinePunct w:val="0"/>
        <w:autoSpaceDE/>
        <w:autoSpaceDN/>
        <w:bidi w:val="0"/>
        <w:adjustRightInd/>
        <w:snapToGrid/>
        <w:spacing w:line="360" w:lineRule="auto"/>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意见》提出：《中共中央、国务院关于实施乡村振兴战略的意见》在提升农业发展质量，培育乡村发展新动能方面要求，乡村振兴中产业兴旺是重点。其中具体措施第一条即要求：夯实农业生产能力基础加快建设国家农业科技创新体系，加强面向全行业的科技创新基地建设。深化农业科技成果转化和推广应用改革。加快发展现代农作物、畜禽、水产林木种业，提升自主创新能力。第二条要求：实施质量兴农战略，深入推进农业绿色化、优质化、特色化、品牌化，调整优化农业生产力布局，推动农业由增产导向转向提质导向。推进特色农产品优势区创建，建设现代农业产业园、农业科技园。</w:t>
      </w:r>
    </w:p>
    <w:p w14:paraId="07E518E1">
      <w:pPr>
        <w:pageBreakBefore w:val="0"/>
        <w:kinsoku/>
        <w:wordWrap/>
        <w:overflowPunct/>
        <w:topLinePunct w:val="0"/>
        <w:autoSpaceDE/>
        <w:autoSpaceDN/>
        <w:bidi w:val="0"/>
        <w:adjustRightInd/>
        <w:snapToGrid/>
        <w:spacing w:line="360" w:lineRule="auto"/>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（2）《中共中央国务院关于全面推进乡村振兴加快农业农村现代化的意见》</w:t>
      </w:r>
    </w:p>
    <w:p w14:paraId="0A1FF19D">
      <w:pPr>
        <w:pageBreakBefore w:val="0"/>
        <w:kinsoku/>
        <w:wordWrap/>
        <w:overflowPunct/>
        <w:topLinePunct w:val="0"/>
        <w:autoSpaceDE/>
        <w:autoSpaceDN/>
        <w:bidi w:val="0"/>
        <w:adjustRightInd/>
        <w:snapToGrid/>
        <w:spacing w:line="360" w:lineRule="auto"/>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意见》提出：《意见》指出以习近平新时代中国特色社会主义思想为指导，全面贯彻党的十九大和十九届二中、三中、四中、五中全会精神，贯彻落实中央经济工作会议精神，统筹推进“五位一体”总体布局，协调推进“四个全面”战略布局，坚定不移贯彻新发展理念，坚持稳中求进工作总基调，坚持加强党对“三农”工作的全面领导，坚持农业农村优先发展，坚持农业现代化与农村现代化一体设计、一并推进，坚持创新驱动发展，以推动高质量发展为主题，统筹发展和安全，落实加快构建新发展格局要求，巩固和完善农村基本经营制度，深入推进农业供给侧结构性改革，把乡村建设摆在社会主义现代化建设的重要位置，全面推进乡村产业、人才、文化、生态、组织振兴，充分发挥农业产品供给、生态屏障、文化传承等功能，走中国特色社会主义乡村振兴道路，加快农业农村现代化，加快形成工农互促、城乡互补、协调发展、共同繁荣的新型工农城乡关系，促进农业高质高效、乡村宜居宜业、农民富裕富足，为全面建设社会主义现代化国家开好局、起好步提供有力支撑。</w:t>
      </w:r>
    </w:p>
    <w:p w14:paraId="3AC60DD4">
      <w:pPr>
        <w:pageBreakBefore w:val="0"/>
        <w:kinsoku/>
        <w:wordWrap/>
        <w:overflowPunct/>
        <w:topLinePunct w:val="0"/>
        <w:autoSpaceDE/>
        <w:autoSpaceDN/>
        <w:bidi w:val="0"/>
        <w:adjustRightInd/>
        <w:snapToGrid/>
        <w:spacing w:line="360" w:lineRule="auto"/>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（3）《全国现代设施农业建设规划（2023-2030年）》</w:t>
      </w:r>
    </w:p>
    <w:p w14:paraId="14606FD2">
      <w:pPr>
        <w:pageBreakBefore w:val="0"/>
        <w:kinsoku/>
        <w:wordWrap/>
        <w:overflowPunct/>
        <w:topLinePunct w:val="0"/>
        <w:autoSpaceDE/>
        <w:autoSpaceDN/>
        <w:bidi w:val="0"/>
        <w:adjustRightInd/>
        <w:snapToGrid/>
        <w:spacing w:line="360" w:lineRule="auto"/>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规划》提出：《规划》要求突出发展现代都市型智慧设施农业，建设一批全年生产、立体种植、智能调控的连栋温室和植物工厂等高端生产设施，形成一批布局合理、高产高效的现代设施农业标准化园区。发展立体化种植。根据作物特点，发展多层立体等栽培模式，建设一批垂直农场促进空间高效利用，提升不同区域、不同品种植物工厂光效和能效。推广无土化栽培。建设基质栽培系统、营养液循环系统，采用可降解材料代替土壤、使用多通道精准型配肥设备，按需配制营养液进行水培或雾（气）培。推行智能化管理。加快与设施结构、栽培方式相配套的国产化智慧温室生产管控系统建设，结合作物生长模型对光照、温湿度等环境因子、综合能耗等进行精准自动调控。加快集成熟化自动化、智能化成套装备和先进技术，加大高效嫁接机器人、温室巡检机器自动植保机器人、采摘机器人等智能装备的推广力度。</w:t>
      </w:r>
    </w:p>
    <w:p w14:paraId="6A582C64">
      <w:pPr>
        <w:pageBreakBefore w:val="0"/>
        <w:kinsoku/>
        <w:wordWrap/>
        <w:overflowPunct/>
        <w:topLinePunct w:val="0"/>
        <w:autoSpaceDE/>
        <w:autoSpaceDN/>
        <w:bidi w:val="0"/>
        <w:adjustRightInd/>
        <w:snapToGrid/>
        <w:spacing w:line="360" w:lineRule="auto"/>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（4）《四川省“十四五”推进农业农村现代化规划》</w:t>
      </w:r>
    </w:p>
    <w:p w14:paraId="54C2C2B8">
      <w:pPr>
        <w:pageBreakBefore w:val="0"/>
        <w:kinsoku/>
        <w:wordWrap/>
        <w:overflowPunct/>
        <w:topLinePunct w:val="0"/>
        <w:autoSpaceDE/>
        <w:autoSpaceDN/>
        <w:bidi w:val="0"/>
        <w:adjustRightInd/>
        <w:snapToGrid/>
        <w:spacing w:line="360" w:lineRule="auto"/>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指出：《规划》提出到 2025年，农业基础更加稳固，乡村振兴战略全面推进，农业农村现代化取得重要进展，脱贫地区实现巩固拓展脱贫攻坚成果同乡村振兴有效衔接。现代农业“10+3”产业体系基本形成构建起符合四川实际的现代农业园区梯级发展体系，带动小农户进入现代农业发展轨道，形成乡村一二三产业融合发展新态势。绿色优质农产品供给能力显著增强。农业基础设施现代化迈上新台阶，现代农业种业、装备、烘干冷链物流支撑保障水平显著提升。</w:t>
      </w:r>
    </w:p>
    <w:p w14:paraId="55BD83B7">
      <w:pPr>
        <w:pageBreakBefore w:val="0"/>
        <w:kinsoku/>
        <w:wordWrap/>
        <w:overflowPunct/>
        <w:topLinePunct w:val="0"/>
        <w:autoSpaceDE/>
        <w:autoSpaceDN/>
        <w:bidi w:val="0"/>
        <w:adjustRightInd/>
        <w:snapToGrid/>
        <w:spacing w:line="360" w:lineRule="auto"/>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（5）《甘孜州加快建设现代农业“10+2”产业体系推进甘孜传统农业向现代农业跨越的实施方案》</w:t>
      </w:r>
    </w:p>
    <w:p w14:paraId="7B6E7A37">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实施方案》提出甘孜州作为第二大藏区，近年来聚力建设高水平高原粮仓，坚持把粮食安全和重要农产品稳定供给作为头等大事。坚持以市场为导向，调整优化产业结构，形成与市场需求相适应、与资源禀赋相匹配的农业生产结构和区域布局。发挥园区载体作用，构建甘孜州现代农业园区建设体系，促进现代农业“10+2”产业体系高质量发展。实施“菜篮子”自给保供工程，建设康定、甘孜、理塘为中心的区域性蔬菜集散交易中心，布局建设蔬菜保供基地，以县级蔬菜基地为补充，积极推进设施农业，龙头企业引领带动，普适蔬菜种植大户和特色蔬菜种植散户共同参与的蔬菜自给供应格局。</w:t>
      </w:r>
    </w:p>
    <w:p w14:paraId="1289ACB0">
      <w:pPr>
        <w:spacing w:line="560" w:lineRule="exact"/>
        <w:ind w:firstLine="643" w:firstLineChars="200"/>
        <w:rPr>
          <w:rFonts w:ascii="楷体_GB2312" w:eastAsia="楷体_GB2312"/>
          <w:b/>
          <w:sz w:val="32"/>
          <w:szCs w:val="32"/>
        </w:rPr>
      </w:pPr>
      <w:r>
        <w:rPr>
          <w:rFonts w:hint="eastAsia" w:ascii="楷体_GB2312" w:eastAsia="楷体_GB2312"/>
          <w:b/>
          <w:sz w:val="32"/>
          <w:szCs w:val="32"/>
        </w:rPr>
        <w:t>（二）项目情况</w:t>
      </w:r>
    </w:p>
    <w:p w14:paraId="7588B1BC">
      <w:pPr>
        <w:spacing w:line="560" w:lineRule="exact"/>
        <w:ind w:firstLine="643" w:firstLineChars="200"/>
        <w:rPr>
          <w:rFonts w:hint="eastAsia" w:ascii="仿宋_GB2312" w:eastAsia="仿宋_GB2312"/>
          <w:b/>
          <w:sz w:val="32"/>
          <w:szCs w:val="32"/>
        </w:rPr>
      </w:pPr>
      <w:r>
        <w:rPr>
          <w:rFonts w:hint="eastAsia" w:ascii="仿宋_GB2312" w:eastAsia="仿宋_GB2312"/>
          <w:b/>
          <w:sz w:val="32"/>
          <w:szCs w:val="32"/>
        </w:rPr>
        <w:t>1．参与主体</w:t>
      </w:r>
    </w:p>
    <w:p w14:paraId="2F7EAF54">
      <w:pPr>
        <w:pageBreakBefore w:val="0"/>
        <w:kinsoku/>
        <w:wordWrap/>
        <w:overflowPunct/>
        <w:topLinePunct w:val="0"/>
        <w:autoSpaceDE/>
        <w:autoSpaceDN/>
        <w:bidi w:val="0"/>
        <w:adjustRightInd/>
        <w:snapToGrid/>
        <w:spacing w:line="360" w:lineRule="auto"/>
        <w:ind w:firstLine="643" w:firstLineChars="200"/>
        <w:textAlignment w:val="auto"/>
        <w:rPr>
          <w:rFonts w:hint="default" w:ascii="仿宋_GB2312" w:hAnsi="仿宋_GB2312" w:eastAsia="仿宋_GB2312" w:cs="仿宋_GB2312"/>
          <w:sz w:val="32"/>
          <w:szCs w:val="32"/>
          <w:highlight w:val="none"/>
          <w:lang w:val="en-US" w:eastAsia="zh-CN"/>
        </w:rPr>
      </w:pPr>
      <w:r>
        <w:rPr>
          <w:rFonts w:hint="default" w:ascii="仿宋_GB2312" w:hAnsi="仿宋_GB2312" w:eastAsia="仿宋_GB2312" w:cs="仿宋_GB2312"/>
          <w:b/>
          <w:bCs/>
          <w:sz w:val="32"/>
          <w:szCs w:val="32"/>
          <w:highlight w:val="none"/>
          <w:lang w:val="en-US" w:eastAsia="zh-CN"/>
        </w:rPr>
        <w:t>实施机构：</w:t>
      </w:r>
      <w:r>
        <w:rPr>
          <w:rFonts w:hint="eastAsia" w:ascii="仿宋_GB2312" w:hAnsi="仿宋_GB2312" w:eastAsia="仿宋_GB2312" w:cs="仿宋_GB2312"/>
          <w:sz w:val="32"/>
          <w:szCs w:val="32"/>
          <w:highlight w:val="none"/>
          <w:lang w:val="en-US" w:eastAsia="zh-CN"/>
        </w:rPr>
        <w:t>炉霍县农牧农村和科技局</w:t>
      </w:r>
    </w:p>
    <w:p w14:paraId="0D5844DA">
      <w:pPr>
        <w:pageBreakBefore w:val="0"/>
        <w:kinsoku/>
        <w:wordWrap/>
        <w:overflowPunct/>
        <w:topLinePunct w:val="0"/>
        <w:autoSpaceDE/>
        <w:autoSpaceDN/>
        <w:bidi w:val="0"/>
        <w:adjustRightInd/>
        <w:snapToGrid/>
        <w:spacing w:line="360" w:lineRule="auto"/>
        <w:ind w:firstLine="643" w:firstLineChars="200"/>
        <w:textAlignment w:val="auto"/>
        <w:rPr>
          <w:rFonts w:hint="eastAsia" w:ascii="仿宋_GB2312" w:hAnsi="仿宋_GB2312" w:eastAsia="仿宋_GB2312" w:cs="仿宋_GB2312"/>
          <w:sz w:val="32"/>
          <w:szCs w:val="32"/>
          <w:highlight w:val="none"/>
          <w:lang w:val="en-US" w:eastAsia="zh-CN"/>
        </w:rPr>
      </w:pPr>
      <w:r>
        <w:rPr>
          <w:rFonts w:hint="default" w:ascii="仿宋_GB2312" w:hAnsi="仿宋_GB2312" w:eastAsia="仿宋_GB2312" w:cs="仿宋_GB2312"/>
          <w:b/>
          <w:bCs/>
          <w:sz w:val="32"/>
          <w:szCs w:val="32"/>
          <w:highlight w:val="none"/>
          <w:lang w:val="en-US" w:eastAsia="zh-CN"/>
        </w:rPr>
        <w:t>业主单位：</w:t>
      </w:r>
      <w:r>
        <w:rPr>
          <w:rFonts w:hint="eastAsia" w:ascii="仿宋_GB2312" w:hAnsi="仿宋_GB2312" w:eastAsia="仿宋_GB2312" w:cs="仿宋_GB2312"/>
          <w:sz w:val="32"/>
          <w:szCs w:val="32"/>
          <w:highlight w:val="none"/>
          <w:lang w:val="en-US" w:eastAsia="zh-CN"/>
        </w:rPr>
        <w:t>炉霍县农牧农村和科技局</w:t>
      </w:r>
    </w:p>
    <w:p w14:paraId="484FEE6C">
      <w:pPr>
        <w:numPr>
          <w:ilvl w:val="0"/>
          <w:numId w:val="0"/>
        </w:numPr>
        <w:spacing w:line="560" w:lineRule="exact"/>
        <w:ind w:firstLine="643" w:firstLineChars="200"/>
        <w:rPr>
          <w:rFonts w:hint="eastAsia" w:ascii="仿宋_GB2312" w:eastAsia="仿宋_GB2312"/>
          <w:b/>
          <w:sz w:val="32"/>
          <w:szCs w:val="32"/>
        </w:rPr>
      </w:pPr>
      <w:r>
        <w:rPr>
          <w:rFonts w:hint="eastAsia" w:ascii="仿宋_GB2312" w:eastAsia="仿宋_GB2312"/>
          <w:b/>
          <w:kern w:val="2"/>
          <w:sz w:val="32"/>
          <w:szCs w:val="32"/>
          <w:lang w:val="en-US" w:eastAsia="zh-CN" w:bidi="ar-SA"/>
        </w:rPr>
        <w:t>2．</w:t>
      </w:r>
      <w:r>
        <w:rPr>
          <w:rFonts w:hint="eastAsia" w:ascii="仿宋_GB2312" w:eastAsia="仿宋_GB2312"/>
          <w:b/>
          <w:sz w:val="32"/>
          <w:szCs w:val="32"/>
        </w:rPr>
        <w:t>项目概况</w:t>
      </w:r>
    </w:p>
    <w:p w14:paraId="782AA1F4">
      <w:pPr>
        <w:pageBreakBefore w:val="0"/>
        <w:kinsoku/>
        <w:wordWrap/>
        <w:overflowPunct/>
        <w:topLinePunct w:val="0"/>
        <w:autoSpaceDE/>
        <w:autoSpaceDN/>
        <w:bidi w:val="0"/>
        <w:adjustRightInd/>
        <w:snapToGrid/>
        <w:spacing w:line="360" w:lineRule="auto"/>
        <w:ind w:firstLine="643" w:firstLineChars="200"/>
        <w:textAlignment w:val="auto"/>
        <w:rPr>
          <w:rFonts w:hint="default" w:ascii="仿宋_GB2312" w:hAnsi="仿宋_GB2312" w:eastAsia="仿宋_GB2312" w:cs="仿宋_GB2312"/>
          <w:b/>
          <w:bCs/>
          <w:sz w:val="32"/>
          <w:szCs w:val="32"/>
          <w:highlight w:val="none"/>
          <w:lang w:val="en-US" w:eastAsia="zh-CN"/>
        </w:rPr>
      </w:pPr>
      <w:r>
        <w:rPr>
          <w:rFonts w:hint="default" w:ascii="仿宋_GB2312" w:hAnsi="仿宋_GB2312" w:eastAsia="仿宋_GB2312" w:cs="仿宋_GB2312"/>
          <w:b/>
          <w:bCs/>
          <w:sz w:val="32"/>
          <w:szCs w:val="32"/>
          <w:highlight w:val="none"/>
          <w:lang w:val="en-US" w:eastAsia="zh-CN"/>
        </w:rPr>
        <w:t>项目名称：</w:t>
      </w:r>
      <w:r>
        <w:rPr>
          <w:rFonts w:hint="eastAsia" w:ascii="仿宋_GB2312" w:hAnsi="仿宋_GB2312" w:eastAsia="仿宋_GB2312" w:cs="仿宋_GB2312"/>
          <w:b w:val="0"/>
          <w:bCs w:val="0"/>
          <w:sz w:val="32"/>
          <w:szCs w:val="32"/>
          <w:highlight w:val="none"/>
          <w:lang w:val="en-US" w:eastAsia="zh-CN"/>
        </w:rPr>
        <w:t>炉霍县现代农业特色产业示范基地建设项目（一期）</w:t>
      </w:r>
    </w:p>
    <w:p w14:paraId="42C2BEE5">
      <w:pPr>
        <w:pageBreakBefore w:val="0"/>
        <w:kinsoku/>
        <w:wordWrap/>
        <w:overflowPunct/>
        <w:topLinePunct w:val="0"/>
        <w:autoSpaceDE/>
        <w:autoSpaceDN/>
        <w:bidi w:val="0"/>
        <w:adjustRightInd/>
        <w:snapToGrid/>
        <w:spacing w:line="360" w:lineRule="auto"/>
        <w:ind w:firstLine="643"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bCs/>
          <w:sz w:val="32"/>
          <w:szCs w:val="32"/>
          <w:highlight w:val="none"/>
          <w:lang w:val="en-US" w:eastAsia="zh-CN"/>
        </w:rPr>
        <w:t>项目所属领域：</w:t>
      </w:r>
      <w:r>
        <w:rPr>
          <w:rFonts w:hint="default" w:ascii="仿宋_GB2312" w:hAnsi="仿宋_GB2312" w:eastAsia="仿宋_GB2312" w:cs="仿宋_GB2312"/>
          <w:b w:val="0"/>
          <w:bCs w:val="0"/>
          <w:sz w:val="32"/>
          <w:szCs w:val="32"/>
          <w:highlight w:val="none"/>
          <w:lang w:val="en-US" w:eastAsia="zh-CN"/>
        </w:rPr>
        <w:t>农林水利</w:t>
      </w:r>
    </w:p>
    <w:p w14:paraId="4EC8A6CD">
      <w:pPr>
        <w:pageBreakBefore w:val="0"/>
        <w:kinsoku/>
        <w:wordWrap/>
        <w:overflowPunct/>
        <w:topLinePunct w:val="0"/>
        <w:autoSpaceDE/>
        <w:autoSpaceDN/>
        <w:bidi w:val="0"/>
        <w:adjustRightInd/>
        <w:snapToGrid/>
        <w:spacing w:line="360" w:lineRule="auto"/>
        <w:ind w:firstLine="643"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bCs/>
          <w:sz w:val="32"/>
          <w:szCs w:val="32"/>
          <w:highlight w:val="none"/>
          <w:lang w:val="en-US" w:eastAsia="zh-CN"/>
        </w:rPr>
        <w:t>项目建设工期：</w:t>
      </w:r>
      <w:r>
        <w:rPr>
          <w:rFonts w:hint="default" w:ascii="仿宋_GB2312" w:hAnsi="仿宋_GB2312" w:eastAsia="仿宋_GB2312" w:cs="仿宋_GB2312"/>
          <w:b w:val="0"/>
          <w:bCs w:val="0"/>
          <w:sz w:val="32"/>
          <w:szCs w:val="32"/>
          <w:highlight w:val="none"/>
          <w:lang w:val="en-US" w:eastAsia="zh-CN"/>
        </w:rPr>
        <w:t>24个月</w:t>
      </w:r>
    </w:p>
    <w:p w14:paraId="02ACB9E7">
      <w:pPr>
        <w:pageBreakBefore w:val="0"/>
        <w:kinsoku/>
        <w:wordWrap/>
        <w:overflowPunct/>
        <w:topLinePunct w:val="0"/>
        <w:autoSpaceDE/>
        <w:autoSpaceDN/>
        <w:bidi w:val="0"/>
        <w:adjustRightInd/>
        <w:snapToGrid/>
        <w:spacing w:line="360" w:lineRule="auto"/>
        <w:ind w:firstLine="643"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bCs/>
          <w:sz w:val="32"/>
          <w:szCs w:val="32"/>
          <w:highlight w:val="none"/>
          <w:lang w:val="en-US" w:eastAsia="zh-CN"/>
        </w:rPr>
        <w:t>项目区位：</w:t>
      </w:r>
      <w:r>
        <w:rPr>
          <w:rFonts w:hint="eastAsia" w:ascii="仿宋_GB2312" w:hAnsi="仿宋_GB2312" w:eastAsia="仿宋_GB2312" w:cs="仿宋_GB2312"/>
          <w:b w:val="0"/>
          <w:bCs w:val="0"/>
          <w:sz w:val="32"/>
          <w:szCs w:val="32"/>
          <w:highlight w:val="none"/>
          <w:lang w:val="en-US" w:eastAsia="zh-CN"/>
        </w:rPr>
        <w:t>炉霍县</w:t>
      </w:r>
    </w:p>
    <w:p w14:paraId="23EC9354">
      <w:pPr>
        <w:pageBreakBefore w:val="0"/>
        <w:kinsoku/>
        <w:wordWrap/>
        <w:overflowPunct/>
        <w:topLinePunct w:val="0"/>
        <w:autoSpaceDE/>
        <w:autoSpaceDN/>
        <w:bidi w:val="0"/>
        <w:adjustRightInd/>
        <w:snapToGrid/>
        <w:spacing w:line="360" w:lineRule="auto"/>
        <w:ind w:firstLine="643"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bCs/>
          <w:sz w:val="32"/>
          <w:szCs w:val="32"/>
          <w:highlight w:val="none"/>
          <w:lang w:val="en-US" w:eastAsia="zh-CN"/>
        </w:rPr>
        <w:t>项目说明：</w:t>
      </w:r>
      <w:r>
        <w:rPr>
          <w:rFonts w:hint="default" w:ascii="仿宋_GB2312" w:hAnsi="仿宋_GB2312" w:eastAsia="仿宋_GB2312" w:cs="仿宋_GB2312"/>
          <w:b w:val="0"/>
          <w:bCs w:val="0"/>
          <w:sz w:val="32"/>
          <w:szCs w:val="32"/>
          <w:highlight w:val="none"/>
          <w:lang w:val="en-US" w:eastAsia="zh-CN"/>
        </w:rPr>
        <w:t>本项目为新建工程，资产无抵押或质押情况。</w:t>
      </w:r>
    </w:p>
    <w:p w14:paraId="0E21A3C1">
      <w:pPr>
        <w:pageBreakBefore w:val="0"/>
        <w:kinsoku/>
        <w:wordWrap/>
        <w:overflowPunct/>
        <w:topLinePunct w:val="0"/>
        <w:autoSpaceDE/>
        <w:autoSpaceDN/>
        <w:bidi w:val="0"/>
        <w:adjustRightInd/>
        <w:snapToGrid/>
        <w:spacing w:line="360" w:lineRule="auto"/>
        <w:ind w:firstLine="643" w:firstLineChars="200"/>
        <w:textAlignment w:val="auto"/>
        <w:rPr>
          <w:rFonts w:hint="default" w:ascii="仿宋_GB2312" w:hAnsi="仿宋_GB2312" w:eastAsia="仿宋_GB2312" w:cs="仿宋_GB2312"/>
          <w:b/>
          <w:bCs/>
          <w:sz w:val="32"/>
          <w:szCs w:val="32"/>
          <w:highlight w:val="none"/>
          <w:lang w:val="en-US" w:eastAsia="zh-CN"/>
        </w:rPr>
      </w:pPr>
      <w:r>
        <w:rPr>
          <w:rFonts w:hint="default" w:ascii="仿宋_GB2312" w:hAnsi="仿宋_GB2312" w:eastAsia="仿宋_GB2312" w:cs="仿宋_GB2312"/>
          <w:b/>
          <w:bCs/>
          <w:sz w:val="32"/>
          <w:szCs w:val="32"/>
          <w:highlight w:val="none"/>
          <w:lang w:val="en-US" w:eastAsia="zh-CN"/>
        </w:rPr>
        <w:t>主要建设内容：</w:t>
      </w:r>
    </w:p>
    <w:p w14:paraId="2CBADEC6">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eastAsia" w:ascii="仿宋_GB2312" w:hAnsi="仿宋_GB2312" w:eastAsia="仿宋_GB2312" w:cs="仿宋_GB2312"/>
          <w:b w:val="0"/>
          <w:bCs w:val="0"/>
          <w:sz w:val="32"/>
          <w:szCs w:val="32"/>
          <w:highlight w:val="none"/>
          <w:lang w:val="en-US" w:eastAsia="zh-CN"/>
        </w:rPr>
        <w:t>本项目总用地面积511.18亩，建筑面积为14.02万平方米，其中包含日光温室74座、总面积为107400平方米；连栋温室8座，总面积为32800平方米，主要建设内容包括建筑、结构、给水排水、电气工程，总平工程等。</w:t>
      </w:r>
    </w:p>
    <w:p w14:paraId="7C3F7ED7">
      <w:pPr>
        <w:numPr>
          <w:ilvl w:val="0"/>
          <w:numId w:val="3"/>
        </w:numPr>
        <w:spacing w:line="560" w:lineRule="exact"/>
        <w:ind w:firstLine="640" w:firstLineChars="200"/>
        <w:rPr>
          <w:rFonts w:hint="eastAsia" w:ascii="黑体" w:hAnsi="黑体" w:eastAsia="黑体"/>
          <w:sz w:val="32"/>
          <w:szCs w:val="32"/>
        </w:rPr>
      </w:pPr>
      <w:r>
        <w:rPr>
          <w:rFonts w:hint="eastAsia" w:ascii="黑体" w:hAnsi="黑体" w:eastAsia="黑体"/>
          <w:sz w:val="32"/>
          <w:szCs w:val="32"/>
        </w:rPr>
        <w:t>经济社会效益分析</w:t>
      </w:r>
    </w:p>
    <w:p w14:paraId="0F542624">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bookmarkStart w:id="7" w:name="_Toc4293"/>
      <w:bookmarkStart w:id="8" w:name="_Toc21218"/>
      <w:bookmarkStart w:id="9" w:name="_Toc6623"/>
      <w:bookmarkStart w:id="10" w:name="_Toc24769"/>
      <w:bookmarkStart w:id="11" w:name="_Toc8916"/>
      <w:bookmarkStart w:id="12" w:name="_Toc26501"/>
      <w:bookmarkStart w:id="13" w:name="_Toc7721"/>
      <w:bookmarkStart w:id="14" w:name="_Toc13953"/>
      <w:bookmarkStart w:id="15" w:name="_Toc31856"/>
      <w:r>
        <w:rPr>
          <w:rFonts w:hint="eastAsia" w:ascii="仿宋_GB2312" w:hAnsi="仿宋_GB2312" w:eastAsia="仿宋_GB2312" w:cs="仿宋_GB2312"/>
          <w:b w:val="0"/>
          <w:bCs w:val="0"/>
          <w:sz w:val="32"/>
          <w:szCs w:val="32"/>
          <w:highlight w:val="none"/>
          <w:lang w:val="en-US" w:eastAsia="zh-CN"/>
        </w:rPr>
        <w:t>（一）</w:t>
      </w:r>
      <w:r>
        <w:rPr>
          <w:rFonts w:hint="default" w:ascii="仿宋_GB2312" w:hAnsi="仿宋_GB2312" w:eastAsia="仿宋_GB2312" w:cs="仿宋_GB2312"/>
          <w:b w:val="0"/>
          <w:bCs w:val="0"/>
          <w:sz w:val="32"/>
          <w:szCs w:val="32"/>
          <w:highlight w:val="none"/>
          <w:lang w:val="en-US" w:eastAsia="zh-CN"/>
        </w:rPr>
        <w:t>经济效益</w:t>
      </w:r>
      <w:bookmarkEnd w:id="7"/>
      <w:bookmarkEnd w:id="8"/>
      <w:bookmarkEnd w:id="9"/>
      <w:bookmarkEnd w:id="10"/>
      <w:bookmarkEnd w:id="11"/>
      <w:bookmarkEnd w:id="12"/>
      <w:bookmarkEnd w:id="13"/>
      <w:bookmarkEnd w:id="14"/>
      <w:bookmarkEnd w:id="15"/>
    </w:p>
    <w:p w14:paraId="727378E6">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bookmarkStart w:id="16" w:name="_Toc3717"/>
      <w:bookmarkStart w:id="17" w:name="_Toc30219"/>
      <w:bookmarkStart w:id="18" w:name="_Toc15224_WPSOffice_Level2"/>
      <w:bookmarkStart w:id="19" w:name="_Toc31288"/>
      <w:bookmarkStart w:id="20" w:name="_Toc2045"/>
      <w:r>
        <w:rPr>
          <w:rFonts w:hint="default" w:ascii="仿宋_GB2312" w:hAnsi="仿宋_GB2312" w:eastAsia="仿宋_GB2312" w:cs="仿宋_GB2312"/>
          <w:b w:val="0"/>
          <w:bCs w:val="0"/>
          <w:sz w:val="32"/>
          <w:szCs w:val="32"/>
          <w:highlight w:val="none"/>
          <w:lang w:val="en-US" w:eastAsia="zh-CN"/>
        </w:rPr>
        <w:t>经严格遵循合规性、谨慎性原则所进行的财务测算，本项目专项收入可偿债息前净现金流为16,716.64万元，政府专项债券到期本息为14875.00万元，本项目用于偿还政府专项债券的息前净现金流/政府专项债本息的收益覆盖倍数为1.12倍，能较好的实现收益与融资自求平衡，且具备较好的抗风险能力和一定安全边际。项目在经济上可行，财务上有利，建设运营的直接经济效益能够满足项目自求平衡的要求。</w:t>
      </w:r>
    </w:p>
    <w:p w14:paraId="132917D0">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该项目总投资额约为10700.00万元，将在一定程度上拉动地区GDP的增长。项目入驻甘孜州炉霍县，该项目建设过程中对周边其他相关行业的带动作用，也将成为地区经济增长的巨大引擎。另一方面，项目建成后还将促进甘孜州区及周边地区各产业的发展，刺激居民消费，达到促进地区国内生产总值增长的目的。</w:t>
      </w:r>
    </w:p>
    <w:p w14:paraId="4F1A9B9E">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bookmarkStart w:id="21" w:name="_Toc26046"/>
      <w:bookmarkStart w:id="22" w:name="_Toc1684"/>
      <w:bookmarkStart w:id="23" w:name="_Toc19098"/>
      <w:bookmarkStart w:id="24" w:name="_Toc28700"/>
      <w:bookmarkStart w:id="25" w:name="_Toc1602"/>
      <w:bookmarkStart w:id="26" w:name="_Toc10086"/>
      <w:r>
        <w:rPr>
          <w:rFonts w:hint="eastAsia" w:ascii="仿宋_GB2312" w:hAnsi="仿宋_GB2312" w:eastAsia="仿宋_GB2312" w:cs="仿宋_GB2312"/>
          <w:b w:val="0"/>
          <w:bCs w:val="0"/>
          <w:sz w:val="32"/>
          <w:szCs w:val="32"/>
          <w:highlight w:val="none"/>
          <w:lang w:val="en-US" w:eastAsia="zh-CN"/>
        </w:rPr>
        <w:t>（二）</w:t>
      </w:r>
      <w:r>
        <w:rPr>
          <w:rFonts w:hint="default" w:ascii="仿宋_GB2312" w:hAnsi="仿宋_GB2312" w:eastAsia="仿宋_GB2312" w:cs="仿宋_GB2312"/>
          <w:b w:val="0"/>
          <w:bCs w:val="0"/>
          <w:sz w:val="32"/>
          <w:szCs w:val="32"/>
          <w:highlight w:val="none"/>
          <w:lang w:val="en-US" w:eastAsia="zh-CN"/>
        </w:rPr>
        <w:t>社会效益</w:t>
      </w:r>
      <w:bookmarkEnd w:id="16"/>
      <w:bookmarkEnd w:id="17"/>
      <w:bookmarkEnd w:id="18"/>
      <w:bookmarkEnd w:id="19"/>
      <w:bookmarkEnd w:id="20"/>
      <w:bookmarkEnd w:id="21"/>
      <w:bookmarkEnd w:id="22"/>
      <w:bookmarkEnd w:id="23"/>
      <w:bookmarkEnd w:id="24"/>
      <w:bookmarkEnd w:id="25"/>
      <w:bookmarkEnd w:id="26"/>
    </w:p>
    <w:p w14:paraId="34673B69">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项目的实施涉及农业技术和现代化设施的应用，如水肥一体化、有机种植等。这些现代化农业技术的引入为当地农民提供了学习新技术和新方法的机会。项目中包含的技能培训，能够提高农民的生产技能和知识水平，不仅提升农业生产效益，还能提升农民的综合素质。</w:t>
      </w:r>
    </w:p>
    <w:p w14:paraId="556B74C4">
      <w:pPr>
        <w:pageBreakBefore w:val="0"/>
        <w:kinsoku/>
        <w:wordWrap/>
        <w:overflowPunct/>
        <w:topLinePunct w:val="0"/>
        <w:autoSpaceDE/>
        <w:autoSpaceDN/>
        <w:bidi w:val="0"/>
        <w:adjustRightInd/>
        <w:snapToGrid/>
        <w:spacing w:line="360" w:lineRule="auto"/>
        <w:ind w:firstLine="640" w:firstLineChars="200"/>
        <w:textAlignment w:val="auto"/>
        <w:rPr>
          <w:rFonts w:hint="eastAsia"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随着农业产业的发展，村里的经济状况改善，有可能吸引更多的外部资源投入到当地的教育事业中，增加教育设施和资源，从而促进青少年的成长与发展。这将对未来的社会产生积极影响，尤其是对年轻一代的就业和社会参与起到推动作用。</w:t>
      </w:r>
    </w:p>
    <w:p w14:paraId="336533B5">
      <w:pPr>
        <w:spacing w:line="560" w:lineRule="exact"/>
        <w:ind w:firstLine="640" w:firstLineChars="200"/>
        <w:rPr>
          <w:rFonts w:ascii="黑体" w:hAnsi="黑体" w:eastAsia="黑体"/>
          <w:sz w:val="32"/>
          <w:szCs w:val="32"/>
        </w:rPr>
      </w:pPr>
      <w:r>
        <w:rPr>
          <w:rFonts w:hint="eastAsia" w:ascii="黑体" w:hAnsi="黑体" w:eastAsia="黑体"/>
          <w:sz w:val="32"/>
          <w:szCs w:val="32"/>
        </w:rPr>
        <w:t>三、项目投资估算及资金筹措方案</w:t>
      </w:r>
    </w:p>
    <w:p w14:paraId="5D80825A">
      <w:pPr>
        <w:spacing w:line="560" w:lineRule="exact"/>
        <w:ind w:firstLine="643" w:firstLineChars="200"/>
        <w:rPr>
          <w:rFonts w:hint="eastAsia" w:ascii="楷体_GB2312" w:eastAsia="楷体_GB2312"/>
          <w:b/>
          <w:sz w:val="32"/>
          <w:szCs w:val="32"/>
        </w:rPr>
      </w:pPr>
      <w:r>
        <w:rPr>
          <w:rFonts w:hint="eastAsia" w:ascii="楷体_GB2312" w:eastAsia="楷体_GB2312"/>
          <w:b/>
          <w:sz w:val="32"/>
          <w:szCs w:val="32"/>
        </w:rPr>
        <w:t>（一）</w:t>
      </w:r>
      <w:r>
        <w:rPr>
          <w:rFonts w:hint="eastAsia" w:ascii="楷体_GB2312" w:eastAsia="楷体_GB2312"/>
          <w:b/>
          <w:sz w:val="32"/>
          <w:szCs w:val="32"/>
        </w:rPr>
        <w:tab/>
      </w:r>
      <w:r>
        <w:rPr>
          <w:rFonts w:hint="eastAsia" w:ascii="楷体_GB2312" w:eastAsia="楷体_GB2312"/>
          <w:b/>
          <w:sz w:val="32"/>
          <w:szCs w:val="32"/>
        </w:rPr>
        <w:t>投资估算</w:t>
      </w:r>
    </w:p>
    <w:p w14:paraId="5A70E69E">
      <w:pPr>
        <w:pageBreakBefore w:val="0"/>
        <w:kinsoku/>
        <w:wordWrap/>
        <w:overflowPunct/>
        <w:topLinePunct w:val="0"/>
        <w:autoSpaceDE/>
        <w:autoSpaceDN/>
        <w:bidi w:val="0"/>
        <w:adjustRightInd/>
        <w:snapToGrid/>
        <w:spacing w:line="360" w:lineRule="auto"/>
        <w:ind w:firstLine="643" w:firstLineChars="200"/>
        <w:textAlignment w:val="auto"/>
        <w:rPr>
          <w:rFonts w:hint="eastAsia" w:ascii="仿宋_GB2312" w:hAnsi="仿宋_GB2312" w:eastAsia="仿宋_GB2312" w:cs="仿宋_GB2312"/>
          <w:b/>
          <w:bCs/>
          <w:sz w:val="32"/>
          <w:szCs w:val="32"/>
          <w:highlight w:val="none"/>
          <w:lang w:val="en-US" w:eastAsia="zh-CN"/>
        </w:rPr>
      </w:pPr>
      <w:bookmarkStart w:id="27" w:name="_Toc18074"/>
      <w:bookmarkStart w:id="28" w:name="_Toc4105"/>
      <w:bookmarkStart w:id="29" w:name="_Toc10369"/>
      <w:bookmarkStart w:id="30" w:name="_Toc23175"/>
      <w:r>
        <w:rPr>
          <w:rFonts w:hint="eastAsia" w:ascii="仿宋_GB2312" w:hAnsi="仿宋_GB2312" w:eastAsia="仿宋_GB2312" w:cs="仿宋_GB2312"/>
          <w:b/>
          <w:bCs/>
          <w:sz w:val="32"/>
          <w:szCs w:val="32"/>
          <w:highlight w:val="none"/>
          <w:lang w:val="en-US" w:eastAsia="zh-CN"/>
        </w:rPr>
        <w:t>1.编制依据及原则</w:t>
      </w:r>
      <w:bookmarkEnd w:id="27"/>
      <w:bookmarkEnd w:id="28"/>
      <w:bookmarkEnd w:id="29"/>
      <w:bookmarkEnd w:id="30"/>
    </w:p>
    <w:p w14:paraId="0622A35E">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eastAsia" w:ascii="仿宋_GB2312" w:hAnsi="仿宋_GB2312" w:eastAsia="仿宋_GB2312" w:cs="仿宋_GB2312"/>
          <w:b w:val="0"/>
          <w:bCs w:val="0"/>
          <w:sz w:val="32"/>
          <w:szCs w:val="32"/>
          <w:highlight w:val="none"/>
          <w:lang w:val="en-US" w:eastAsia="zh-CN"/>
        </w:rPr>
        <w:t>（1）</w:t>
      </w:r>
      <w:r>
        <w:rPr>
          <w:rFonts w:hint="default" w:ascii="仿宋_GB2312" w:hAnsi="仿宋_GB2312" w:eastAsia="仿宋_GB2312" w:cs="仿宋_GB2312"/>
          <w:b w:val="0"/>
          <w:bCs w:val="0"/>
          <w:sz w:val="32"/>
          <w:szCs w:val="32"/>
          <w:highlight w:val="none"/>
          <w:lang w:val="en-US" w:eastAsia="zh-CN"/>
        </w:rPr>
        <w:t>编制依据</w:t>
      </w:r>
    </w:p>
    <w:p w14:paraId="5C171F55">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本项目具体实施范围：包括温室大棚工程、室外总平、室外给排水及供配电工程，配套设备设施等。</w:t>
      </w:r>
    </w:p>
    <w:p w14:paraId="657D069A">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工程费用估算采用投资指标估算法。投资指标参照炉霍县同类工程，《四川省建设工程工程量清单计价定额》川建造价发（2020）《建设工程工程量清单计价规范》(GB50500-2024）及配套315，文件，并参照当前四川省建材的物价水平和建筑市场的供需情况，综合测算制定；</w:t>
      </w:r>
    </w:p>
    <w:p w14:paraId="67827CE4">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材料价格参照《四川省工程造价信息》炉霍县 2025年2月信息价，信息价不足部分采用市场价。</w:t>
      </w:r>
    </w:p>
    <w:p w14:paraId="7BD0D1EC">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《国家发展改革委关于印发投资项目可行性研究报告编写大纲及说明的通知》（发改投资规〔2023〕304号）;</w:t>
      </w:r>
    </w:p>
    <w:p w14:paraId="40F460D2">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《建设项目全过程造价咨询规程》(CECA/GC4-2017);</w:t>
      </w:r>
    </w:p>
    <w:p w14:paraId="26A121CD">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《建设工程造价咨询规范》(GB/T51095-2015)</w:t>
      </w:r>
    </w:p>
    <w:p w14:paraId="19CDCCBD">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《四川省建设工程造价咨询标准》(DBJ51/T090-2018)《建设项目投资估算编审规程》(CECA/GC1-2015):《建设项目经济评价方法与参数》（第三版）;</w:t>
      </w:r>
    </w:p>
    <w:p w14:paraId="4FE69382">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建设单位提供的可行性研究报告外部条件和资料；</w:t>
      </w:r>
    </w:p>
    <w:p w14:paraId="14F692BF">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各专业提供的资料、条件、图表说明等。</w:t>
      </w:r>
    </w:p>
    <w:p w14:paraId="1784DE74">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eastAsia" w:ascii="仿宋_GB2312" w:hAnsi="仿宋_GB2312" w:eastAsia="仿宋_GB2312" w:cs="仿宋_GB2312"/>
          <w:b w:val="0"/>
          <w:bCs w:val="0"/>
          <w:sz w:val="32"/>
          <w:szCs w:val="32"/>
          <w:highlight w:val="none"/>
          <w:lang w:val="en-US" w:eastAsia="zh-CN"/>
        </w:rPr>
        <w:t>（2）</w:t>
      </w:r>
      <w:r>
        <w:rPr>
          <w:rFonts w:hint="default" w:ascii="仿宋_GB2312" w:hAnsi="仿宋_GB2312" w:eastAsia="仿宋_GB2312" w:cs="仿宋_GB2312"/>
          <w:b w:val="0"/>
          <w:bCs w:val="0"/>
          <w:sz w:val="32"/>
          <w:szCs w:val="32"/>
          <w:highlight w:val="none"/>
          <w:lang w:val="en-US" w:eastAsia="zh-CN"/>
        </w:rPr>
        <w:t>编制原则</w:t>
      </w:r>
    </w:p>
    <w:p w14:paraId="0D357ECC">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项目建设必须遵循国家的各项政策、法规和法令，符合区域经济社会发展及行业和地区的规划。以科学发展、实事求是的态度，公正、客观的反映本项目建设的实际情况，项目投资坚持“客观公正、实事求是”的原则。</w:t>
      </w:r>
    </w:p>
    <w:p w14:paraId="2B641ED4">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通过对区域经济社会发展分析研究以及对项目规划的研究，推荐建设项目投资总规模、整体方案，论证结果的合理性。</w:t>
      </w:r>
    </w:p>
    <w:p w14:paraId="4F8611DD">
      <w:pPr>
        <w:pageBreakBefore w:val="0"/>
        <w:kinsoku/>
        <w:wordWrap/>
        <w:overflowPunct/>
        <w:topLinePunct w:val="0"/>
        <w:autoSpaceDE/>
        <w:autoSpaceDN/>
        <w:bidi w:val="0"/>
        <w:adjustRightInd/>
        <w:snapToGrid/>
        <w:spacing w:line="360" w:lineRule="auto"/>
        <w:ind w:firstLine="643" w:firstLineChars="200"/>
        <w:textAlignment w:val="auto"/>
        <w:rPr>
          <w:rFonts w:hint="default" w:ascii="仿宋_GB2312" w:hAnsi="仿宋_GB2312" w:eastAsia="仿宋_GB2312" w:cs="仿宋_GB2312"/>
          <w:b/>
          <w:bCs/>
          <w:sz w:val="32"/>
          <w:szCs w:val="32"/>
          <w:highlight w:val="none"/>
          <w:lang w:val="en-US" w:eastAsia="zh-CN"/>
        </w:rPr>
      </w:pPr>
      <w:bookmarkStart w:id="31" w:name="_Toc15804"/>
      <w:bookmarkStart w:id="32" w:name="_Toc12979"/>
      <w:bookmarkStart w:id="33" w:name="_Toc27529"/>
      <w:bookmarkStart w:id="34" w:name="_Toc11244"/>
      <w:bookmarkStart w:id="35" w:name="_Toc3442"/>
      <w:bookmarkStart w:id="36" w:name="_Toc28337"/>
      <w:bookmarkStart w:id="37" w:name="_Toc29989"/>
      <w:bookmarkStart w:id="38" w:name="_Toc32623"/>
      <w:bookmarkStart w:id="39" w:name="_Toc7847"/>
      <w:bookmarkStart w:id="40" w:name="_Toc4612"/>
      <w:bookmarkStart w:id="41" w:name="_Toc8979"/>
      <w:r>
        <w:rPr>
          <w:rFonts w:hint="eastAsia" w:ascii="仿宋_GB2312" w:hAnsi="仿宋_GB2312" w:eastAsia="仿宋_GB2312" w:cs="仿宋_GB2312"/>
          <w:b/>
          <w:bCs/>
          <w:sz w:val="32"/>
          <w:szCs w:val="32"/>
          <w:highlight w:val="none"/>
          <w:lang w:val="en-US" w:eastAsia="zh-CN"/>
        </w:rPr>
        <w:t>2.</w:t>
      </w:r>
      <w:r>
        <w:rPr>
          <w:rFonts w:hint="default" w:ascii="仿宋_GB2312" w:hAnsi="仿宋_GB2312" w:eastAsia="仿宋_GB2312" w:cs="仿宋_GB2312"/>
          <w:b/>
          <w:bCs/>
          <w:sz w:val="32"/>
          <w:szCs w:val="32"/>
          <w:highlight w:val="none"/>
          <w:lang w:val="en-US" w:eastAsia="zh-CN"/>
        </w:rPr>
        <w:t>项目总投资</w:t>
      </w:r>
      <w:bookmarkEnd w:id="31"/>
      <w:bookmarkEnd w:id="32"/>
      <w:bookmarkEnd w:id="33"/>
      <w:bookmarkEnd w:id="34"/>
      <w:bookmarkEnd w:id="35"/>
      <w:bookmarkEnd w:id="36"/>
      <w:bookmarkEnd w:id="37"/>
      <w:bookmarkEnd w:id="38"/>
      <w:bookmarkEnd w:id="39"/>
      <w:bookmarkEnd w:id="40"/>
      <w:bookmarkEnd w:id="41"/>
    </w:p>
    <w:p w14:paraId="3394F939">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bookmarkStart w:id="42" w:name="_Hlk84430951"/>
      <w:r>
        <w:rPr>
          <w:rFonts w:hint="default" w:ascii="仿宋_GB2312" w:hAnsi="仿宋_GB2312" w:eastAsia="仿宋_GB2312" w:cs="仿宋_GB2312"/>
          <w:b w:val="0"/>
          <w:bCs w:val="0"/>
          <w:sz w:val="32"/>
          <w:szCs w:val="32"/>
          <w:highlight w:val="none"/>
          <w:lang w:val="en-US" w:eastAsia="zh-CN"/>
        </w:rPr>
        <w:t>本项目建设动态投资总额为10700.00万元，其中：建安工程费8,685.73万元，占总投资的81.18%，工程建设其他费用940.67万元，占总投资的8.79%，预备费777.60万元，占总投资的7.27%。建设期利息287.50万元，占总投资的2.69%，债券发行费用8.50万元，占总投资的</w:t>
      </w:r>
      <w:bookmarkEnd w:id="42"/>
      <w:r>
        <w:rPr>
          <w:rFonts w:hint="default" w:ascii="仿宋_GB2312" w:hAnsi="仿宋_GB2312" w:eastAsia="仿宋_GB2312" w:cs="仿宋_GB2312"/>
          <w:b w:val="0"/>
          <w:bCs w:val="0"/>
          <w:sz w:val="32"/>
          <w:szCs w:val="32"/>
          <w:highlight w:val="none"/>
          <w:lang w:val="en-US" w:eastAsia="zh-CN"/>
        </w:rPr>
        <w:t>0.08%。</w:t>
      </w:r>
    </w:p>
    <w:p w14:paraId="3AAED52B">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详见下表3-1投资汇总表、3-2投资估算明细表：</w:t>
      </w:r>
    </w:p>
    <w:p w14:paraId="4662E66D">
      <w:pPr>
        <w:bidi w:val="0"/>
        <w:jc w:val="center"/>
        <w:rPr>
          <w:rFonts w:hint="default" w:ascii="Times New Roman" w:hAnsi="Times New Roman" w:cs="Times New Roman"/>
          <w:b/>
          <w:bCs/>
          <w:highlight w:val="none"/>
        </w:rPr>
      </w:pPr>
      <w:r>
        <w:rPr>
          <w:rFonts w:hint="default" w:ascii="Times New Roman" w:hAnsi="Times New Roman" w:cs="Times New Roman"/>
          <w:b/>
          <w:bCs/>
          <w:highlight w:val="none"/>
        </w:rPr>
        <w:t>3-1投资汇总表</w:t>
      </w:r>
    </w:p>
    <w:p w14:paraId="70A20999">
      <w:pPr>
        <w:spacing w:before="0" w:after="0" w:line="0" w:lineRule="atLeast"/>
        <w:ind w:firstLine="0" w:firstLineChars="0"/>
        <w:jc w:val="right"/>
        <w:rPr>
          <w:rFonts w:hint="default" w:ascii="Times New Roman" w:hAnsi="Times New Roman" w:cs="Times New Roman"/>
          <w:highlight w:val="none"/>
        </w:rPr>
      </w:pPr>
      <w:r>
        <w:rPr>
          <w:rFonts w:hint="default" w:ascii="Times New Roman" w:hAnsi="Times New Roman" w:cs="Times New Roman"/>
          <w:b/>
          <w:bCs/>
          <w:sz w:val="24"/>
          <w:highlight w:val="none"/>
        </w:rPr>
        <w:t>单位：万元</w:t>
      </w:r>
    </w:p>
    <w:tbl>
      <w:tblPr>
        <w:tblStyle w:val="13"/>
        <w:tblW w:w="4999"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239"/>
        <w:gridCol w:w="2778"/>
        <w:gridCol w:w="1713"/>
        <w:gridCol w:w="2790"/>
      </w:tblGrid>
      <w:tr w14:paraId="652FEBC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55" w:hRule="atLeast"/>
          <w:jc w:val="center"/>
        </w:trPr>
        <w:tc>
          <w:tcPr>
            <w:tcW w:w="727" w:type="pct"/>
            <w:tcBorders>
              <w:top w:val="single" w:color="000000" w:sz="8" w:space="0"/>
              <w:left w:val="single" w:color="000000" w:sz="8" w:space="0"/>
              <w:bottom w:val="single" w:color="000000" w:sz="8" w:space="0"/>
              <w:right w:val="single" w:color="000000" w:sz="8" w:space="0"/>
            </w:tcBorders>
            <w:shd w:val="clear" w:color="auto" w:fill="auto"/>
            <w:vAlign w:val="center"/>
          </w:tcPr>
          <w:p w14:paraId="4676B7B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序号</w:t>
            </w:r>
          </w:p>
        </w:tc>
        <w:tc>
          <w:tcPr>
            <w:tcW w:w="1630" w:type="pct"/>
            <w:tcBorders>
              <w:top w:val="single" w:color="000000" w:sz="8" w:space="0"/>
              <w:left w:val="nil"/>
              <w:bottom w:val="single" w:color="000000" w:sz="8" w:space="0"/>
              <w:right w:val="single" w:color="000000" w:sz="8" w:space="0"/>
            </w:tcBorders>
            <w:shd w:val="clear" w:color="auto" w:fill="auto"/>
            <w:vAlign w:val="center"/>
          </w:tcPr>
          <w:p w14:paraId="3C5023E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投资构成</w:t>
            </w:r>
          </w:p>
        </w:tc>
        <w:tc>
          <w:tcPr>
            <w:tcW w:w="1005" w:type="pct"/>
            <w:tcBorders>
              <w:top w:val="single" w:color="000000" w:sz="8" w:space="0"/>
              <w:left w:val="nil"/>
              <w:bottom w:val="single" w:color="000000" w:sz="8" w:space="0"/>
              <w:right w:val="single" w:color="000000" w:sz="8" w:space="0"/>
            </w:tcBorders>
            <w:shd w:val="clear" w:color="auto" w:fill="auto"/>
            <w:noWrap/>
            <w:vAlign w:val="center"/>
          </w:tcPr>
          <w:p w14:paraId="232FE16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金额</w:t>
            </w:r>
          </w:p>
        </w:tc>
        <w:tc>
          <w:tcPr>
            <w:tcW w:w="1636" w:type="pct"/>
            <w:tcBorders>
              <w:top w:val="single" w:color="000000" w:sz="8" w:space="0"/>
              <w:left w:val="nil"/>
              <w:bottom w:val="single" w:color="000000" w:sz="8" w:space="0"/>
              <w:right w:val="single" w:color="000000" w:sz="8" w:space="0"/>
            </w:tcBorders>
            <w:shd w:val="clear" w:color="auto" w:fill="auto"/>
            <w:noWrap/>
            <w:vAlign w:val="center"/>
          </w:tcPr>
          <w:p w14:paraId="689138F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占动态总投资比例</w:t>
            </w:r>
          </w:p>
        </w:tc>
      </w:tr>
      <w:tr w14:paraId="0D9E36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jc w:val="center"/>
        </w:trPr>
        <w:tc>
          <w:tcPr>
            <w:tcW w:w="727" w:type="pct"/>
            <w:tcBorders>
              <w:top w:val="nil"/>
              <w:left w:val="single" w:color="000000" w:sz="8" w:space="0"/>
              <w:bottom w:val="single" w:color="000000" w:sz="8" w:space="0"/>
              <w:right w:val="single" w:color="000000" w:sz="8" w:space="0"/>
            </w:tcBorders>
            <w:shd w:val="clear" w:color="auto" w:fill="auto"/>
            <w:vAlign w:val="center"/>
          </w:tcPr>
          <w:p w14:paraId="0FCA6B8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一</w:t>
            </w:r>
          </w:p>
        </w:tc>
        <w:tc>
          <w:tcPr>
            <w:tcW w:w="1630" w:type="pct"/>
            <w:tcBorders>
              <w:top w:val="nil"/>
              <w:left w:val="nil"/>
              <w:bottom w:val="single" w:color="000000" w:sz="8" w:space="0"/>
              <w:right w:val="single" w:color="000000" w:sz="8" w:space="0"/>
            </w:tcBorders>
            <w:shd w:val="clear" w:color="auto" w:fill="auto"/>
            <w:noWrap/>
            <w:vAlign w:val="center"/>
          </w:tcPr>
          <w:p w14:paraId="074F0F0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静态总投资</w:t>
            </w:r>
          </w:p>
        </w:tc>
        <w:tc>
          <w:tcPr>
            <w:tcW w:w="1005" w:type="pct"/>
            <w:tcBorders>
              <w:top w:val="nil"/>
              <w:left w:val="nil"/>
              <w:bottom w:val="single" w:color="000000" w:sz="8" w:space="0"/>
              <w:right w:val="single" w:color="000000" w:sz="8" w:space="0"/>
            </w:tcBorders>
            <w:shd w:val="clear" w:color="auto" w:fill="auto"/>
            <w:noWrap/>
            <w:vAlign w:val="center"/>
          </w:tcPr>
          <w:p w14:paraId="6648078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10,404.00</w:t>
            </w:r>
          </w:p>
        </w:tc>
        <w:tc>
          <w:tcPr>
            <w:tcW w:w="1636" w:type="pct"/>
            <w:tcBorders>
              <w:top w:val="nil"/>
              <w:left w:val="nil"/>
              <w:bottom w:val="single" w:color="000000" w:sz="8" w:space="0"/>
              <w:right w:val="single" w:color="000000" w:sz="8" w:space="0"/>
            </w:tcBorders>
            <w:shd w:val="clear" w:color="auto" w:fill="auto"/>
            <w:noWrap/>
            <w:vAlign w:val="center"/>
          </w:tcPr>
          <w:p w14:paraId="760A283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97.23%</w:t>
            </w:r>
          </w:p>
        </w:tc>
      </w:tr>
      <w:tr w14:paraId="4E2A772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5" w:hRule="atLeast"/>
          <w:jc w:val="center"/>
        </w:trPr>
        <w:tc>
          <w:tcPr>
            <w:tcW w:w="727" w:type="pct"/>
            <w:tcBorders>
              <w:top w:val="nil"/>
              <w:left w:val="single" w:color="000000" w:sz="8" w:space="0"/>
              <w:bottom w:val="single" w:color="000000" w:sz="8" w:space="0"/>
              <w:right w:val="single" w:color="000000" w:sz="8" w:space="0"/>
            </w:tcBorders>
            <w:shd w:val="clear" w:color="auto" w:fill="auto"/>
            <w:vAlign w:val="center"/>
          </w:tcPr>
          <w:p w14:paraId="70A6332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1</w:t>
            </w:r>
          </w:p>
        </w:tc>
        <w:tc>
          <w:tcPr>
            <w:tcW w:w="1630" w:type="pct"/>
            <w:tcBorders>
              <w:top w:val="nil"/>
              <w:left w:val="nil"/>
              <w:bottom w:val="single" w:color="000000" w:sz="8" w:space="0"/>
              <w:right w:val="single" w:color="000000" w:sz="8" w:space="0"/>
            </w:tcBorders>
            <w:shd w:val="clear" w:color="auto" w:fill="auto"/>
            <w:vAlign w:val="center"/>
          </w:tcPr>
          <w:p w14:paraId="66B464A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工程建设投资</w:t>
            </w:r>
          </w:p>
        </w:tc>
        <w:tc>
          <w:tcPr>
            <w:tcW w:w="1005" w:type="pct"/>
            <w:tcBorders>
              <w:top w:val="nil"/>
              <w:left w:val="nil"/>
              <w:bottom w:val="single" w:color="000000" w:sz="8" w:space="0"/>
              <w:right w:val="single" w:color="000000" w:sz="8" w:space="0"/>
            </w:tcBorders>
            <w:shd w:val="clear" w:color="auto" w:fill="auto"/>
            <w:noWrap/>
            <w:vAlign w:val="center"/>
          </w:tcPr>
          <w:p w14:paraId="6A5E8C8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8,685.73</w:t>
            </w:r>
          </w:p>
        </w:tc>
        <w:tc>
          <w:tcPr>
            <w:tcW w:w="1636" w:type="pct"/>
            <w:tcBorders>
              <w:top w:val="nil"/>
              <w:left w:val="nil"/>
              <w:bottom w:val="single" w:color="000000" w:sz="8" w:space="0"/>
              <w:right w:val="single" w:color="000000" w:sz="8" w:space="0"/>
            </w:tcBorders>
            <w:shd w:val="clear" w:color="auto" w:fill="auto"/>
            <w:noWrap/>
            <w:vAlign w:val="center"/>
          </w:tcPr>
          <w:p w14:paraId="6E32A65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81.18%</w:t>
            </w:r>
          </w:p>
        </w:tc>
      </w:tr>
      <w:tr w14:paraId="2EC911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9" w:hRule="atLeast"/>
          <w:jc w:val="center"/>
        </w:trPr>
        <w:tc>
          <w:tcPr>
            <w:tcW w:w="727" w:type="pct"/>
            <w:tcBorders>
              <w:top w:val="nil"/>
              <w:left w:val="single" w:color="000000" w:sz="8" w:space="0"/>
              <w:bottom w:val="single" w:color="000000" w:sz="8" w:space="0"/>
              <w:right w:val="single" w:color="000000" w:sz="8" w:space="0"/>
            </w:tcBorders>
            <w:shd w:val="clear" w:color="auto" w:fill="auto"/>
            <w:vAlign w:val="center"/>
          </w:tcPr>
          <w:p w14:paraId="37A75AD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2</w:t>
            </w:r>
          </w:p>
        </w:tc>
        <w:tc>
          <w:tcPr>
            <w:tcW w:w="1630" w:type="pct"/>
            <w:tcBorders>
              <w:top w:val="nil"/>
              <w:left w:val="nil"/>
              <w:bottom w:val="single" w:color="000000" w:sz="8" w:space="0"/>
              <w:right w:val="single" w:color="000000" w:sz="8" w:space="0"/>
            </w:tcBorders>
            <w:shd w:val="clear" w:color="auto" w:fill="auto"/>
            <w:vAlign w:val="center"/>
          </w:tcPr>
          <w:p w14:paraId="2273363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工程建设其他费用</w:t>
            </w:r>
          </w:p>
        </w:tc>
        <w:tc>
          <w:tcPr>
            <w:tcW w:w="1005" w:type="pct"/>
            <w:tcBorders>
              <w:top w:val="nil"/>
              <w:left w:val="nil"/>
              <w:bottom w:val="single" w:color="000000" w:sz="8" w:space="0"/>
              <w:right w:val="single" w:color="000000" w:sz="8" w:space="0"/>
            </w:tcBorders>
            <w:shd w:val="clear" w:color="auto" w:fill="auto"/>
            <w:noWrap/>
            <w:vAlign w:val="center"/>
          </w:tcPr>
          <w:p w14:paraId="353D1E6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940.67</w:t>
            </w:r>
          </w:p>
        </w:tc>
        <w:tc>
          <w:tcPr>
            <w:tcW w:w="1636" w:type="pct"/>
            <w:tcBorders>
              <w:top w:val="nil"/>
              <w:left w:val="nil"/>
              <w:bottom w:val="single" w:color="000000" w:sz="8" w:space="0"/>
              <w:right w:val="single" w:color="000000" w:sz="8" w:space="0"/>
            </w:tcBorders>
            <w:shd w:val="clear" w:color="auto" w:fill="auto"/>
            <w:noWrap/>
            <w:vAlign w:val="center"/>
          </w:tcPr>
          <w:p w14:paraId="430C669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8.79%</w:t>
            </w:r>
          </w:p>
        </w:tc>
      </w:tr>
      <w:tr w14:paraId="7575A5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5" w:hRule="atLeast"/>
          <w:jc w:val="center"/>
        </w:trPr>
        <w:tc>
          <w:tcPr>
            <w:tcW w:w="727" w:type="pct"/>
            <w:tcBorders>
              <w:top w:val="nil"/>
              <w:left w:val="single" w:color="000000" w:sz="8" w:space="0"/>
              <w:bottom w:val="single" w:color="000000" w:sz="8" w:space="0"/>
              <w:right w:val="single" w:color="000000" w:sz="8" w:space="0"/>
            </w:tcBorders>
            <w:shd w:val="clear" w:color="auto" w:fill="auto"/>
            <w:vAlign w:val="center"/>
          </w:tcPr>
          <w:p w14:paraId="33C63D0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3</w:t>
            </w:r>
          </w:p>
        </w:tc>
        <w:tc>
          <w:tcPr>
            <w:tcW w:w="1630" w:type="pct"/>
            <w:tcBorders>
              <w:top w:val="nil"/>
              <w:left w:val="nil"/>
              <w:bottom w:val="single" w:color="000000" w:sz="8" w:space="0"/>
              <w:right w:val="single" w:color="000000" w:sz="8" w:space="0"/>
            </w:tcBorders>
            <w:shd w:val="clear" w:color="auto" w:fill="auto"/>
            <w:vAlign w:val="center"/>
          </w:tcPr>
          <w:p w14:paraId="76A5EA4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预备费用</w:t>
            </w:r>
          </w:p>
        </w:tc>
        <w:tc>
          <w:tcPr>
            <w:tcW w:w="1005" w:type="pct"/>
            <w:tcBorders>
              <w:top w:val="nil"/>
              <w:left w:val="nil"/>
              <w:bottom w:val="single" w:color="000000" w:sz="8" w:space="0"/>
              <w:right w:val="single" w:color="000000" w:sz="8" w:space="0"/>
            </w:tcBorders>
            <w:shd w:val="clear" w:color="auto" w:fill="auto"/>
            <w:noWrap/>
            <w:vAlign w:val="center"/>
          </w:tcPr>
          <w:p w14:paraId="5BCAEB4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777.60</w:t>
            </w:r>
          </w:p>
        </w:tc>
        <w:tc>
          <w:tcPr>
            <w:tcW w:w="1636" w:type="pct"/>
            <w:tcBorders>
              <w:top w:val="nil"/>
              <w:left w:val="nil"/>
              <w:bottom w:val="single" w:color="000000" w:sz="8" w:space="0"/>
              <w:right w:val="single" w:color="000000" w:sz="8" w:space="0"/>
            </w:tcBorders>
            <w:shd w:val="clear" w:color="auto" w:fill="auto"/>
            <w:noWrap/>
            <w:vAlign w:val="center"/>
          </w:tcPr>
          <w:p w14:paraId="6511165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7.27%</w:t>
            </w:r>
          </w:p>
        </w:tc>
      </w:tr>
      <w:tr w14:paraId="43FBA2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55" w:hRule="atLeast"/>
          <w:jc w:val="center"/>
        </w:trPr>
        <w:tc>
          <w:tcPr>
            <w:tcW w:w="727" w:type="pct"/>
            <w:tcBorders>
              <w:top w:val="nil"/>
              <w:left w:val="single" w:color="000000" w:sz="8" w:space="0"/>
              <w:bottom w:val="single" w:color="000000" w:sz="8" w:space="0"/>
              <w:right w:val="single" w:color="000000" w:sz="8" w:space="0"/>
            </w:tcBorders>
            <w:shd w:val="clear" w:color="auto" w:fill="auto"/>
            <w:vAlign w:val="center"/>
          </w:tcPr>
          <w:p w14:paraId="32B7D0F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二</w:t>
            </w:r>
          </w:p>
        </w:tc>
        <w:tc>
          <w:tcPr>
            <w:tcW w:w="1630" w:type="pct"/>
            <w:tcBorders>
              <w:top w:val="nil"/>
              <w:left w:val="nil"/>
              <w:bottom w:val="single" w:color="000000" w:sz="8" w:space="0"/>
              <w:right w:val="single" w:color="000000" w:sz="8" w:space="0"/>
            </w:tcBorders>
            <w:shd w:val="clear" w:color="auto" w:fill="auto"/>
            <w:vAlign w:val="center"/>
          </w:tcPr>
          <w:p w14:paraId="5F6B697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静态投资总额</w:t>
            </w:r>
          </w:p>
        </w:tc>
        <w:tc>
          <w:tcPr>
            <w:tcW w:w="1005" w:type="pct"/>
            <w:tcBorders>
              <w:top w:val="nil"/>
              <w:left w:val="nil"/>
              <w:bottom w:val="single" w:color="000000" w:sz="8" w:space="0"/>
              <w:right w:val="single" w:color="000000" w:sz="8" w:space="0"/>
            </w:tcBorders>
            <w:shd w:val="clear" w:color="auto" w:fill="auto"/>
            <w:noWrap/>
            <w:vAlign w:val="center"/>
          </w:tcPr>
          <w:p w14:paraId="74BE1F6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 xml:space="preserve">296.00 </w:t>
            </w:r>
          </w:p>
        </w:tc>
        <w:tc>
          <w:tcPr>
            <w:tcW w:w="1636" w:type="pct"/>
            <w:tcBorders>
              <w:top w:val="nil"/>
              <w:left w:val="nil"/>
              <w:bottom w:val="single" w:color="000000" w:sz="8" w:space="0"/>
              <w:right w:val="single" w:color="000000" w:sz="8" w:space="0"/>
            </w:tcBorders>
            <w:shd w:val="clear" w:color="auto" w:fill="auto"/>
            <w:noWrap/>
            <w:vAlign w:val="center"/>
          </w:tcPr>
          <w:p w14:paraId="313BE79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2.77%</w:t>
            </w:r>
          </w:p>
        </w:tc>
      </w:tr>
      <w:tr w14:paraId="46635E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5" w:hRule="atLeast"/>
          <w:jc w:val="center"/>
        </w:trPr>
        <w:tc>
          <w:tcPr>
            <w:tcW w:w="727" w:type="pct"/>
            <w:tcBorders>
              <w:top w:val="nil"/>
              <w:left w:val="single" w:color="000000" w:sz="8" w:space="0"/>
              <w:bottom w:val="single" w:color="000000" w:sz="8" w:space="0"/>
              <w:right w:val="single" w:color="000000" w:sz="8" w:space="0"/>
            </w:tcBorders>
            <w:shd w:val="clear" w:color="auto" w:fill="auto"/>
            <w:vAlign w:val="center"/>
          </w:tcPr>
          <w:p w14:paraId="482A122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加：</w:t>
            </w:r>
          </w:p>
        </w:tc>
        <w:tc>
          <w:tcPr>
            <w:tcW w:w="1630" w:type="pct"/>
            <w:tcBorders>
              <w:top w:val="nil"/>
              <w:left w:val="nil"/>
              <w:bottom w:val="single" w:color="000000" w:sz="8" w:space="0"/>
              <w:right w:val="single" w:color="000000" w:sz="8" w:space="0"/>
            </w:tcBorders>
            <w:shd w:val="clear" w:color="auto" w:fill="auto"/>
            <w:vAlign w:val="center"/>
          </w:tcPr>
          <w:p w14:paraId="7112536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建设期利息</w:t>
            </w:r>
          </w:p>
        </w:tc>
        <w:tc>
          <w:tcPr>
            <w:tcW w:w="1005" w:type="pct"/>
            <w:tcBorders>
              <w:top w:val="nil"/>
              <w:left w:val="nil"/>
              <w:bottom w:val="single" w:color="000000" w:sz="8" w:space="0"/>
              <w:right w:val="single" w:color="000000" w:sz="8" w:space="0"/>
            </w:tcBorders>
            <w:shd w:val="clear" w:color="auto" w:fill="auto"/>
            <w:noWrap/>
            <w:vAlign w:val="center"/>
          </w:tcPr>
          <w:p w14:paraId="4A3AE14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 xml:space="preserve">287.50 </w:t>
            </w:r>
          </w:p>
        </w:tc>
        <w:tc>
          <w:tcPr>
            <w:tcW w:w="1636" w:type="pct"/>
            <w:tcBorders>
              <w:top w:val="nil"/>
              <w:left w:val="nil"/>
              <w:bottom w:val="single" w:color="000000" w:sz="8" w:space="0"/>
              <w:right w:val="single" w:color="000000" w:sz="8" w:space="0"/>
            </w:tcBorders>
            <w:shd w:val="clear" w:color="auto" w:fill="auto"/>
            <w:noWrap/>
            <w:vAlign w:val="center"/>
          </w:tcPr>
          <w:p w14:paraId="06CCDB2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2.69%</w:t>
            </w:r>
          </w:p>
        </w:tc>
      </w:tr>
      <w:tr w14:paraId="4B71FE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jc w:val="center"/>
        </w:trPr>
        <w:tc>
          <w:tcPr>
            <w:tcW w:w="727" w:type="pct"/>
            <w:tcBorders>
              <w:top w:val="nil"/>
              <w:left w:val="single" w:color="000000" w:sz="8" w:space="0"/>
              <w:bottom w:val="single" w:color="000000" w:sz="8" w:space="0"/>
              <w:right w:val="single" w:color="000000" w:sz="8" w:space="0"/>
            </w:tcBorders>
            <w:shd w:val="clear" w:color="auto" w:fill="auto"/>
            <w:vAlign w:val="center"/>
          </w:tcPr>
          <w:p w14:paraId="4BE9F8A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000000"/>
                <w:sz w:val="21"/>
                <w:szCs w:val="21"/>
                <w:u w:val="none"/>
              </w:rPr>
            </w:pPr>
          </w:p>
        </w:tc>
        <w:tc>
          <w:tcPr>
            <w:tcW w:w="1630" w:type="pct"/>
            <w:tcBorders>
              <w:top w:val="nil"/>
              <w:left w:val="nil"/>
              <w:bottom w:val="single" w:color="000000" w:sz="8" w:space="0"/>
              <w:right w:val="single" w:color="000000" w:sz="8" w:space="0"/>
            </w:tcBorders>
            <w:shd w:val="clear" w:color="auto" w:fill="auto"/>
            <w:vAlign w:val="center"/>
          </w:tcPr>
          <w:p w14:paraId="7FB6331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债券发行费用</w:t>
            </w:r>
          </w:p>
        </w:tc>
        <w:tc>
          <w:tcPr>
            <w:tcW w:w="1005" w:type="pct"/>
            <w:tcBorders>
              <w:top w:val="nil"/>
              <w:left w:val="nil"/>
              <w:bottom w:val="single" w:color="000000" w:sz="8" w:space="0"/>
              <w:right w:val="single" w:color="000000" w:sz="8" w:space="0"/>
            </w:tcBorders>
            <w:shd w:val="clear" w:color="auto" w:fill="auto"/>
            <w:noWrap/>
            <w:vAlign w:val="center"/>
          </w:tcPr>
          <w:p w14:paraId="4DBEB11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 xml:space="preserve">8.50 </w:t>
            </w:r>
          </w:p>
        </w:tc>
        <w:tc>
          <w:tcPr>
            <w:tcW w:w="1636" w:type="pct"/>
            <w:tcBorders>
              <w:top w:val="nil"/>
              <w:left w:val="nil"/>
              <w:bottom w:val="single" w:color="000000" w:sz="8" w:space="0"/>
              <w:right w:val="single" w:color="000000" w:sz="8" w:space="0"/>
            </w:tcBorders>
            <w:shd w:val="clear" w:color="auto" w:fill="auto"/>
            <w:noWrap/>
            <w:vAlign w:val="center"/>
          </w:tcPr>
          <w:p w14:paraId="4276FBB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0.08%</w:t>
            </w:r>
          </w:p>
        </w:tc>
      </w:tr>
      <w:tr w14:paraId="6E2A3FC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8" w:hRule="atLeast"/>
          <w:jc w:val="center"/>
        </w:trPr>
        <w:tc>
          <w:tcPr>
            <w:tcW w:w="727" w:type="pct"/>
            <w:tcBorders>
              <w:top w:val="nil"/>
              <w:left w:val="single" w:color="000000" w:sz="8" w:space="0"/>
              <w:bottom w:val="single" w:color="000000" w:sz="8" w:space="0"/>
              <w:right w:val="single" w:color="000000" w:sz="8" w:space="0"/>
            </w:tcBorders>
            <w:shd w:val="clear" w:color="auto" w:fill="auto"/>
            <w:vAlign w:val="center"/>
          </w:tcPr>
          <w:p w14:paraId="51A92F6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三</w:t>
            </w:r>
          </w:p>
        </w:tc>
        <w:tc>
          <w:tcPr>
            <w:tcW w:w="1630" w:type="pct"/>
            <w:tcBorders>
              <w:top w:val="nil"/>
              <w:left w:val="nil"/>
              <w:bottom w:val="single" w:color="000000" w:sz="8" w:space="0"/>
              <w:right w:val="single" w:color="000000" w:sz="8" w:space="0"/>
            </w:tcBorders>
            <w:shd w:val="clear" w:color="auto" w:fill="auto"/>
            <w:vAlign w:val="center"/>
          </w:tcPr>
          <w:p w14:paraId="6D5203E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动态投资总额</w:t>
            </w:r>
          </w:p>
        </w:tc>
        <w:tc>
          <w:tcPr>
            <w:tcW w:w="1005" w:type="pct"/>
            <w:tcBorders>
              <w:top w:val="nil"/>
              <w:left w:val="nil"/>
              <w:bottom w:val="single" w:color="000000" w:sz="8" w:space="0"/>
              <w:right w:val="single" w:color="000000" w:sz="8" w:space="0"/>
            </w:tcBorders>
            <w:shd w:val="clear" w:color="auto" w:fill="auto"/>
            <w:noWrap/>
            <w:vAlign w:val="center"/>
          </w:tcPr>
          <w:p w14:paraId="3CDC778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10,700.00</w:t>
            </w:r>
          </w:p>
        </w:tc>
        <w:tc>
          <w:tcPr>
            <w:tcW w:w="1636" w:type="pct"/>
            <w:tcBorders>
              <w:top w:val="nil"/>
              <w:left w:val="nil"/>
              <w:bottom w:val="single" w:color="000000" w:sz="8" w:space="0"/>
              <w:right w:val="single" w:color="000000" w:sz="8" w:space="0"/>
            </w:tcBorders>
            <w:shd w:val="clear" w:color="auto" w:fill="auto"/>
            <w:noWrap/>
            <w:vAlign w:val="center"/>
          </w:tcPr>
          <w:p w14:paraId="02632A5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100.00%</w:t>
            </w:r>
          </w:p>
        </w:tc>
      </w:tr>
      <w:tr w14:paraId="4254E4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jc w:val="center"/>
        </w:trPr>
        <w:tc>
          <w:tcPr>
            <w:tcW w:w="727" w:type="pct"/>
            <w:tcBorders>
              <w:top w:val="nil"/>
              <w:left w:val="single" w:color="000000" w:sz="8" w:space="0"/>
              <w:bottom w:val="single" w:color="000000" w:sz="8" w:space="0"/>
              <w:right w:val="single" w:color="000000" w:sz="8" w:space="0"/>
            </w:tcBorders>
            <w:shd w:val="clear" w:color="auto" w:fill="auto"/>
            <w:vAlign w:val="center"/>
          </w:tcPr>
          <w:p w14:paraId="043551F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其中：</w:t>
            </w:r>
          </w:p>
        </w:tc>
        <w:tc>
          <w:tcPr>
            <w:tcW w:w="1630" w:type="pct"/>
            <w:tcBorders>
              <w:top w:val="nil"/>
              <w:left w:val="nil"/>
              <w:bottom w:val="single" w:color="000000" w:sz="8" w:space="0"/>
              <w:right w:val="single" w:color="000000" w:sz="8" w:space="0"/>
            </w:tcBorders>
            <w:shd w:val="clear" w:color="auto" w:fill="auto"/>
            <w:vAlign w:val="center"/>
          </w:tcPr>
          <w:p w14:paraId="21EB311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项目资本金</w:t>
            </w:r>
          </w:p>
        </w:tc>
        <w:tc>
          <w:tcPr>
            <w:tcW w:w="1005" w:type="pct"/>
            <w:tcBorders>
              <w:top w:val="nil"/>
              <w:left w:val="nil"/>
              <w:bottom w:val="single" w:color="000000" w:sz="8" w:space="0"/>
              <w:right w:val="single" w:color="000000" w:sz="8" w:space="0"/>
            </w:tcBorders>
            <w:shd w:val="clear" w:color="auto" w:fill="auto"/>
            <w:noWrap/>
            <w:vAlign w:val="center"/>
          </w:tcPr>
          <w:p w14:paraId="7521612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2,200.00</w:t>
            </w:r>
          </w:p>
        </w:tc>
        <w:tc>
          <w:tcPr>
            <w:tcW w:w="1636" w:type="pct"/>
            <w:tcBorders>
              <w:top w:val="nil"/>
              <w:left w:val="nil"/>
              <w:bottom w:val="single" w:color="000000" w:sz="8" w:space="0"/>
              <w:right w:val="single" w:color="000000" w:sz="8" w:space="0"/>
            </w:tcBorders>
            <w:shd w:val="clear" w:color="auto" w:fill="auto"/>
            <w:noWrap/>
            <w:vAlign w:val="center"/>
          </w:tcPr>
          <w:p w14:paraId="7F28DB4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20.56%</w:t>
            </w:r>
          </w:p>
        </w:tc>
      </w:tr>
      <w:tr w14:paraId="4B4487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jc w:val="center"/>
        </w:trPr>
        <w:tc>
          <w:tcPr>
            <w:tcW w:w="727" w:type="pct"/>
            <w:tcBorders>
              <w:top w:val="nil"/>
              <w:left w:val="single" w:color="000000" w:sz="8" w:space="0"/>
              <w:bottom w:val="single" w:color="000000" w:sz="8" w:space="0"/>
              <w:right w:val="single" w:color="000000" w:sz="8" w:space="0"/>
            </w:tcBorders>
            <w:shd w:val="clear" w:color="auto" w:fill="auto"/>
            <w:vAlign w:val="center"/>
          </w:tcPr>
          <w:p w14:paraId="0DA5039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000000"/>
                <w:sz w:val="21"/>
                <w:szCs w:val="21"/>
                <w:u w:val="none"/>
              </w:rPr>
            </w:pPr>
          </w:p>
        </w:tc>
        <w:tc>
          <w:tcPr>
            <w:tcW w:w="1630" w:type="pct"/>
            <w:tcBorders>
              <w:top w:val="nil"/>
              <w:left w:val="nil"/>
              <w:bottom w:val="single" w:color="000000" w:sz="8" w:space="0"/>
              <w:right w:val="single" w:color="000000" w:sz="8" w:space="0"/>
            </w:tcBorders>
            <w:shd w:val="clear" w:color="auto" w:fill="auto"/>
            <w:vAlign w:val="center"/>
          </w:tcPr>
          <w:p w14:paraId="0BBD64E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发行债券</w:t>
            </w:r>
          </w:p>
        </w:tc>
        <w:tc>
          <w:tcPr>
            <w:tcW w:w="1005" w:type="pct"/>
            <w:tcBorders>
              <w:top w:val="nil"/>
              <w:left w:val="nil"/>
              <w:bottom w:val="single" w:color="000000" w:sz="8" w:space="0"/>
              <w:right w:val="single" w:color="000000" w:sz="8" w:space="0"/>
            </w:tcBorders>
            <w:shd w:val="clear" w:color="auto" w:fill="auto"/>
            <w:noWrap/>
            <w:vAlign w:val="center"/>
          </w:tcPr>
          <w:p w14:paraId="6C7DE25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1"/>
                <w:szCs w:val="21"/>
                <w:u w:val="none"/>
              </w:rPr>
            </w:pPr>
            <w:r>
              <w:rPr>
                <w:rFonts w:hint="eastAsia" w:ascii="仿宋" w:hAnsi="仿宋" w:eastAsia="仿宋" w:cs="仿宋"/>
                <w:i w:val="0"/>
                <w:iCs w:val="0"/>
                <w:color w:val="000000"/>
                <w:kern w:val="0"/>
                <w:sz w:val="21"/>
                <w:szCs w:val="21"/>
                <w:u w:val="none"/>
                <w:lang w:val="en-US" w:eastAsia="zh-CN" w:bidi="ar"/>
              </w:rPr>
              <w:t>8,500.00</w:t>
            </w:r>
          </w:p>
        </w:tc>
        <w:tc>
          <w:tcPr>
            <w:tcW w:w="1636" w:type="pct"/>
            <w:tcBorders>
              <w:top w:val="nil"/>
              <w:left w:val="nil"/>
              <w:bottom w:val="single" w:color="000000" w:sz="8" w:space="0"/>
              <w:right w:val="single" w:color="000000" w:sz="8" w:space="0"/>
            </w:tcBorders>
            <w:shd w:val="clear" w:color="auto" w:fill="auto"/>
            <w:noWrap/>
            <w:vAlign w:val="center"/>
          </w:tcPr>
          <w:p w14:paraId="713BA3A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1"/>
                <w:szCs w:val="21"/>
                <w:u w:val="none"/>
              </w:rPr>
            </w:pPr>
            <w:r>
              <w:rPr>
                <w:rFonts w:hint="eastAsia" w:ascii="仿宋" w:hAnsi="仿宋" w:eastAsia="仿宋" w:cs="仿宋"/>
                <w:b/>
                <w:bCs/>
                <w:i w:val="0"/>
                <w:iCs w:val="0"/>
                <w:color w:val="000000"/>
                <w:kern w:val="0"/>
                <w:sz w:val="21"/>
                <w:szCs w:val="21"/>
                <w:u w:val="none"/>
                <w:lang w:val="en-US" w:eastAsia="zh-CN" w:bidi="ar"/>
              </w:rPr>
              <w:t>79.44%</w:t>
            </w:r>
          </w:p>
        </w:tc>
      </w:tr>
    </w:tbl>
    <w:p w14:paraId="3473012F">
      <w:pPr>
        <w:ind w:firstLine="560"/>
        <w:rPr>
          <w:rFonts w:hint="default" w:ascii="Times New Roman" w:hAnsi="Times New Roman" w:cs="Times New Roman"/>
          <w:highlight w:val="yellow"/>
        </w:rPr>
        <w:sectPr>
          <w:pgSz w:w="11906" w:h="16838"/>
          <w:pgMar w:top="1440" w:right="1800" w:bottom="1440" w:left="1800" w:header="851" w:footer="992" w:gutter="0"/>
          <w:pgNumType w:fmt="numberInDash"/>
          <w:cols w:space="720" w:num="1"/>
          <w:docGrid w:type="lines" w:linePitch="312" w:charSpace="0"/>
        </w:sectPr>
      </w:pPr>
    </w:p>
    <w:p w14:paraId="2CA2E839">
      <w:pPr>
        <w:spacing w:before="0" w:after="0" w:line="0" w:lineRule="atLeast"/>
        <w:ind w:firstLine="0" w:firstLineChars="0"/>
        <w:jc w:val="center"/>
        <w:rPr>
          <w:rFonts w:hint="default" w:ascii="Times New Roman" w:hAnsi="Times New Roman" w:cs="Times New Roman"/>
          <w:b/>
          <w:bCs/>
          <w:szCs w:val="28"/>
          <w:highlight w:val="none"/>
        </w:rPr>
      </w:pPr>
      <w:r>
        <w:rPr>
          <w:rFonts w:hint="default" w:ascii="Times New Roman" w:hAnsi="Times New Roman" w:cs="Times New Roman"/>
          <w:b/>
          <w:bCs/>
          <w:szCs w:val="28"/>
          <w:highlight w:val="none"/>
        </w:rPr>
        <w:t>表3-2投资估算明细表</w:t>
      </w:r>
    </w:p>
    <w:p w14:paraId="1B5788E9">
      <w:pPr>
        <w:spacing w:before="0" w:after="0" w:line="0" w:lineRule="atLeast"/>
        <w:ind w:firstLine="0" w:firstLineChars="0"/>
        <w:jc w:val="right"/>
        <w:rPr>
          <w:rFonts w:hint="default" w:ascii="Times New Roman" w:hAnsi="Times New Roman" w:cs="Times New Roman"/>
          <w:b/>
          <w:bCs/>
          <w:szCs w:val="28"/>
          <w:highlight w:val="none"/>
        </w:rPr>
      </w:pPr>
      <w:r>
        <w:rPr>
          <w:rFonts w:hint="default" w:ascii="Times New Roman" w:hAnsi="Times New Roman" w:cs="Times New Roman"/>
          <w:b/>
          <w:bCs/>
          <w:szCs w:val="28"/>
          <w:highlight w:val="none"/>
        </w:rPr>
        <w:t>单位：万元</w:t>
      </w:r>
    </w:p>
    <w:tbl>
      <w:tblPr>
        <w:tblStyle w:val="13"/>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741"/>
        <w:gridCol w:w="1428"/>
        <w:gridCol w:w="987"/>
        <w:gridCol w:w="1174"/>
        <w:gridCol w:w="1156"/>
        <w:gridCol w:w="508"/>
        <w:gridCol w:w="1073"/>
        <w:gridCol w:w="1215"/>
        <w:gridCol w:w="3085"/>
        <w:gridCol w:w="1001"/>
      </w:tblGrid>
      <w:tr w14:paraId="082796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5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ADC0E9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项目和费用名称</w:t>
            </w:r>
          </w:p>
        </w:tc>
        <w:tc>
          <w:tcPr>
            <w:tcW w:w="53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5B68CF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建筑与安装工程费用（万元）</w:t>
            </w:r>
          </w:p>
        </w:tc>
        <w:tc>
          <w:tcPr>
            <w:tcW w:w="36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DA8FBF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设备购置费（万元）</w:t>
            </w:r>
          </w:p>
        </w:tc>
        <w:tc>
          <w:tcPr>
            <w:tcW w:w="43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CFD952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其他费用（万元）</w:t>
            </w:r>
          </w:p>
        </w:tc>
        <w:tc>
          <w:tcPr>
            <w:tcW w:w="43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78B8F8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合计（万元）</w:t>
            </w:r>
          </w:p>
        </w:tc>
        <w:tc>
          <w:tcPr>
            <w:tcW w:w="190"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C0B39E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单位</w:t>
            </w:r>
          </w:p>
        </w:tc>
        <w:tc>
          <w:tcPr>
            <w:tcW w:w="40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F76DAE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负荷或工程量</w:t>
            </w:r>
          </w:p>
        </w:tc>
        <w:tc>
          <w:tcPr>
            <w:tcW w:w="45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F73B5D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单位指标</w:t>
            </w:r>
            <w:r>
              <w:rPr>
                <w:rFonts w:hint="eastAsia" w:ascii="仿宋" w:hAnsi="仿宋" w:cs="仿宋"/>
                <w:b/>
                <w:bCs/>
                <w:i w:val="0"/>
                <w:iCs w:val="0"/>
                <w:color w:val="auto"/>
                <w:kern w:val="0"/>
                <w:sz w:val="21"/>
                <w:szCs w:val="21"/>
                <w:u w:val="none"/>
                <w:lang w:val="en-US" w:eastAsia="zh-CN" w:bidi="ar"/>
              </w:rPr>
              <w:t>（</w:t>
            </w:r>
            <w:r>
              <w:rPr>
                <w:rFonts w:hint="eastAsia" w:ascii="仿宋" w:hAnsi="仿宋" w:eastAsia="仿宋" w:cs="仿宋"/>
                <w:b/>
                <w:bCs/>
                <w:i w:val="0"/>
                <w:iCs w:val="0"/>
                <w:color w:val="auto"/>
                <w:kern w:val="0"/>
                <w:sz w:val="21"/>
                <w:szCs w:val="21"/>
                <w:u w:val="none"/>
                <w:lang w:val="en-US" w:eastAsia="zh-CN" w:bidi="ar"/>
              </w:rPr>
              <w:t>元</w:t>
            </w:r>
            <w:r>
              <w:rPr>
                <w:rFonts w:hint="eastAsia" w:ascii="仿宋" w:hAnsi="仿宋" w:cs="仿宋"/>
                <w:b/>
                <w:bCs/>
                <w:i w:val="0"/>
                <w:iCs w:val="0"/>
                <w:color w:val="auto"/>
                <w:kern w:val="0"/>
                <w:sz w:val="21"/>
                <w:szCs w:val="21"/>
                <w:u w:val="none"/>
                <w:lang w:val="en-US" w:eastAsia="zh-CN" w:bidi="ar"/>
              </w:rPr>
              <w:t>）</w:t>
            </w:r>
          </w:p>
        </w:tc>
        <w:tc>
          <w:tcPr>
            <w:tcW w:w="115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5897F6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备注</w:t>
            </w:r>
          </w:p>
        </w:tc>
        <w:tc>
          <w:tcPr>
            <w:tcW w:w="37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12C8BC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比例（%）</w:t>
            </w:r>
          </w:p>
        </w:tc>
      </w:tr>
      <w:tr w14:paraId="2DFC53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F3D48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53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7DDA8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B620E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B5663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0926CB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90"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F95D7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0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B8833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5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98753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4E667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6A5F8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55F677F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5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75399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第一部分工程费用</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D656D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8685.73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2E148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0.00 </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774FB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0.00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2A903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8685.73 </w:t>
            </w:r>
          </w:p>
        </w:tc>
        <w:tc>
          <w:tcPr>
            <w:tcW w:w="1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420EC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CEB6C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8F1D5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C109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02F21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81.18%</w:t>
            </w:r>
          </w:p>
        </w:tc>
      </w:tr>
      <w:tr w14:paraId="2E8328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440F0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日光温室</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33D06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5378.05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2E853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E5DF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519A8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5378.05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C1923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B832A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107400</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A3FA6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A105B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9C2ED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50.26%</w:t>
            </w:r>
          </w:p>
        </w:tc>
      </w:tr>
      <w:tr w14:paraId="37B47D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5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03A2A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日光温室12mx70m-4个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FCE48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172.01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24EE5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0.00 </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6189A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0.00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5D419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172.01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9D136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D6186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3360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428FA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1576D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64314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1.61%</w:t>
            </w:r>
          </w:p>
        </w:tc>
      </w:tr>
      <w:tr w14:paraId="3360F4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5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15F11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DC77E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50.40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AB32D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AB7E4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9AEBF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50.40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D7954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E957B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3360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5E606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56757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1FCF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148DB5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2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A7D4E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ED395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114.91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AA56B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8961C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7D32F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114.91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0F04E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63B0F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4032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A2B93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170D9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E1603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00D07E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5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BBB37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门窗工程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8F4C9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0.64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FE45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A070B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A5E19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0.64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93150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746A9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F794B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12D16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金属</w:t>
            </w:r>
            <w:r>
              <w:rPr>
                <w:rFonts w:hint="eastAsia" w:ascii="仿宋" w:hAnsi="仿宋" w:cs="仿宋"/>
                <w:i w:val="0"/>
                <w:iCs w:val="0"/>
                <w:color w:val="auto"/>
                <w:kern w:val="0"/>
                <w:sz w:val="21"/>
                <w:szCs w:val="21"/>
                <w:u w:val="none"/>
                <w:lang w:val="en-US" w:eastAsia="zh-CN" w:bidi="ar"/>
              </w:rPr>
              <w:t>（</w:t>
            </w:r>
            <w:r>
              <w:rPr>
                <w:rFonts w:hint="eastAsia" w:ascii="仿宋" w:hAnsi="仿宋" w:eastAsia="仿宋" w:cs="仿宋"/>
                <w:i w:val="0"/>
                <w:iCs w:val="0"/>
                <w:color w:val="auto"/>
                <w:kern w:val="0"/>
                <w:sz w:val="21"/>
                <w:szCs w:val="21"/>
                <w:u w:val="none"/>
                <w:lang w:val="en-US" w:eastAsia="zh-CN" w:bidi="ar"/>
              </w:rPr>
              <w:t>塑钢）门窗</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2D5B1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083EA6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9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9D1FD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墙面卷材防水</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36639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1.41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7F2B9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0BC23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B5FA9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1.41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4B018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B8179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282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55A67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4481D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后墙及两侧山墙，PVC防水布一道</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2E1EF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4320E4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2FD68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9F2E7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0.28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4BE64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16986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EEA7B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0.28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9DBBA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38A74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1008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7E6C5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C604B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50目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DFD2C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6A53AF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6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42137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45E32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4.37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154B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8C3CF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3DCA1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4.37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1EB3F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A0F18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3360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37951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6181B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9336A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0.04%</w:t>
            </w:r>
          </w:p>
        </w:tc>
      </w:tr>
      <w:tr w14:paraId="704979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AE572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日光温室12mx80m-5个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D3B31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245.62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D657A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2F5F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078F7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245.62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1B8AB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7DA4E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292BB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301C7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2D17C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2.30%</w:t>
            </w:r>
          </w:p>
        </w:tc>
      </w:tr>
      <w:tr w14:paraId="7D3CEB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E2016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E822F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72.00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2F441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8958C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AD82D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72.00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41A46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16AEA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D6C6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6FE8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771F4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1E72BC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9AB61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3ABB5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164.16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789CE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480B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0FF2E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164.16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CF496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64AD8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5760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A3097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5930D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BC41B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5E7073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7719C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门窗工程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EBF64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0.81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D099B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7309A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92A73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0.81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49244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48ED9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35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297DE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F5B0F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金属</w:t>
            </w:r>
            <w:r>
              <w:rPr>
                <w:rFonts w:hint="eastAsia" w:ascii="仿宋" w:hAnsi="仿宋" w:cs="仿宋"/>
                <w:i w:val="0"/>
                <w:iCs w:val="0"/>
                <w:color w:val="auto"/>
                <w:kern w:val="0"/>
                <w:sz w:val="21"/>
                <w:szCs w:val="21"/>
                <w:u w:val="none"/>
                <w:lang w:val="en-US" w:eastAsia="zh-CN" w:bidi="ar"/>
              </w:rPr>
              <w:t>（</w:t>
            </w:r>
            <w:r>
              <w:rPr>
                <w:rFonts w:hint="eastAsia" w:ascii="仿宋" w:hAnsi="仿宋" w:eastAsia="仿宋" w:cs="仿宋"/>
                <w:i w:val="0"/>
                <w:iCs w:val="0"/>
                <w:color w:val="auto"/>
                <w:kern w:val="0"/>
                <w:sz w:val="21"/>
                <w:szCs w:val="21"/>
                <w:u w:val="none"/>
                <w:lang w:val="en-US" w:eastAsia="zh-CN" w:bidi="ar"/>
              </w:rPr>
              <w:t>塑钢）门窗</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C24AE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595BA8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8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C427F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墙面卷材防水</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EF8A4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2.02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B2D5C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61722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F4419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2.02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F582E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783CD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403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B5528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B8475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后墙及两侧山墙，PVC防水布一道</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DD768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366765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4945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E5414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0.40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AD27F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9516C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58BA0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0.40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08ACE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89253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1440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BEEE4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4C447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50目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F5AC0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0663B95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A49FC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56724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6.24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58ACD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26A0B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1CEE5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6.24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C37DB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B190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3CA0F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69680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15559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0.06%</w:t>
            </w:r>
          </w:p>
        </w:tc>
      </w:tr>
      <w:tr w14:paraId="37F6E6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33BD1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日光温室12mx90m-2个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6C747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109.62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5E273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DA92F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02E50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109.62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66AE6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5B3E6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2160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F3C32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C96FE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F7305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1.02%</w:t>
            </w:r>
          </w:p>
        </w:tc>
      </w:tr>
      <w:tr w14:paraId="0DA7BE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9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470D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FD910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31.54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DFC9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3350E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0BADC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31.54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2B245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58691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2160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60F43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146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A291D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6B482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492F7C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71C86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D7CDB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73.87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77B78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A7011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EE100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73.87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1B5CF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9E834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2592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93766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1CC24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54ED6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0FFB24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C036A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门窗工程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4E20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0.32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54282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86C86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43E4D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0.32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C62E9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45078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5A015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2C2C6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金属</w:t>
            </w:r>
            <w:r>
              <w:rPr>
                <w:rFonts w:hint="eastAsia" w:ascii="仿宋" w:hAnsi="仿宋" w:cs="仿宋"/>
                <w:i w:val="0"/>
                <w:iCs w:val="0"/>
                <w:color w:val="auto"/>
                <w:kern w:val="0"/>
                <w:sz w:val="21"/>
                <w:szCs w:val="21"/>
                <w:u w:val="none"/>
                <w:lang w:val="en-US" w:eastAsia="zh-CN" w:bidi="ar"/>
              </w:rPr>
              <w:t>（</w:t>
            </w:r>
            <w:r>
              <w:rPr>
                <w:rFonts w:hint="eastAsia" w:ascii="仿宋" w:hAnsi="仿宋" w:eastAsia="仿宋" w:cs="仿宋"/>
                <w:i w:val="0"/>
                <w:iCs w:val="0"/>
                <w:color w:val="auto"/>
                <w:kern w:val="0"/>
                <w:sz w:val="21"/>
                <w:szCs w:val="21"/>
                <w:u w:val="none"/>
                <w:lang w:val="en-US" w:eastAsia="zh-CN" w:bidi="ar"/>
              </w:rPr>
              <w:t>塑钢）门窗</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BC7E7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49D5FD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6365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墙面卷材防水</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EB639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0.90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B2F50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8AB50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E8E57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0.90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72EDD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6A19A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180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E316F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AAF9C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后墙及两侧山墙，PVC防水布一道</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3B26D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097E8F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8CE73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FBD8E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0.18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44DDD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5AC25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0455C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0.18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D8E2C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26B6F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648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2095A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F765A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50目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C740B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4C1794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6A213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4725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2.81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915B4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1E575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6F1AB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2.81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02872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3C41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2160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B219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78A6C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E9C68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0.03%</w:t>
            </w:r>
          </w:p>
        </w:tc>
      </w:tr>
      <w:tr w14:paraId="48E63B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708DB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日光温室12mx100m-1个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01ED6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60.88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190A3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E4819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47E6D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60.88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18652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FE10A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4CF2A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788E5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31B3B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0.57%</w:t>
            </w:r>
          </w:p>
        </w:tc>
      </w:tr>
      <w:tr w14:paraId="35D9F3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252DF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DC238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17.52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F6D58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4900A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F7BE3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17.52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0B067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39828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05BDE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146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426F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E5872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59D209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268F8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807DB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41.04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A2335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2EFB7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9B5FF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41.04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83D5E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F538E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1440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50C23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FF372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5E584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4106A77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8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01F4B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门窗工程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3919E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0.16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1A375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CEA4F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23DAA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0.16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904EC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B84C1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468DE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99E9F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金属</w:t>
            </w:r>
            <w:r>
              <w:rPr>
                <w:rFonts w:hint="eastAsia" w:ascii="仿宋" w:hAnsi="仿宋" w:cs="仿宋"/>
                <w:i w:val="0"/>
                <w:iCs w:val="0"/>
                <w:color w:val="auto"/>
                <w:kern w:val="0"/>
                <w:sz w:val="21"/>
                <w:szCs w:val="21"/>
                <w:u w:val="none"/>
                <w:lang w:val="en-US" w:eastAsia="zh-CN" w:bidi="ar"/>
              </w:rPr>
              <w:t>（</w:t>
            </w:r>
            <w:r>
              <w:rPr>
                <w:rFonts w:hint="eastAsia" w:ascii="仿宋" w:hAnsi="仿宋" w:eastAsia="仿宋" w:cs="仿宋"/>
                <w:i w:val="0"/>
                <w:iCs w:val="0"/>
                <w:color w:val="auto"/>
                <w:kern w:val="0"/>
                <w:sz w:val="21"/>
                <w:szCs w:val="21"/>
                <w:u w:val="none"/>
                <w:lang w:val="en-US" w:eastAsia="zh-CN" w:bidi="ar"/>
              </w:rPr>
              <w:t>塑钢）门窗</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88F49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5B24D0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C8848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墙面卷材防水</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2DE9E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0.50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14F9C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740F8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36E90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0.50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9C707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74E72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312D6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58CCC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后墙及两侧山墙，PVC防水布一道</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B265F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037E62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C5F35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CD7D3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0.10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2308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FD73E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598F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0.10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CB604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2132F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360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0D290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D1369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50目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5F75C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689F171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55987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71738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1.56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1BB15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6A5AB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630AB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1.56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60C2E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1DA94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C28D9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3E605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8470E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0.01%</w:t>
            </w:r>
          </w:p>
        </w:tc>
      </w:tr>
      <w:tr w14:paraId="0C8D6C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D3D25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日光温室12mx110m-9个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AAF27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601.23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90AD3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75899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2C812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601.23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068A0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85406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11880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18D86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8C438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4575D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5.62%</w:t>
            </w:r>
          </w:p>
        </w:tc>
      </w:tr>
      <w:tr w14:paraId="23A192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2A60B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6BA7E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172.26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7BB9E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529E1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90052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172.26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CD8B8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3834B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11880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5211D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85003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E1CC4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4F7D90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59E11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FD8C2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406.30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C9246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7812D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F1165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406.30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7F4C0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A135E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14256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83B12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C0186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5A361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5B7E8F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8DC1E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门窗工程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E85A2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1.29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921F5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EC9C5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033E6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1.29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B4BE2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F0F07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56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1817F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20BA5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金属</w:t>
            </w:r>
            <w:r>
              <w:rPr>
                <w:rFonts w:hint="eastAsia" w:ascii="仿宋" w:hAnsi="仿宋" w:cs="仿宋"/>
                <w:i w:val="0"/>
                <w:iCs w:val="0"/>
                <w:color w:val="auto"/>
                <w:kern w:val="0"/>
                <w:sz w:val="21"/>
                <w:szCs w:val="21"/>
                <w:u w:val="none"/>
                <w:lang w:val="en-US" w:eastAsia="zh-CN" w:bidi="ar"/>
              </w:rPr>
              <w:t>（</w:t>
            </w:r>
            <w:r>
              <w:rPr>
                <w:rFonts w:hint="eastAsia" w:ascii="仿宋" w:hAnsi="仿宋" w:eastAsia="仿宋" w:cs="仿宋"/>
                <w:i w:val="0"/>
                <w:iCs w:val="0"/>
                <w:color w:val="auto"/>
                <w:kern w:val="0"/>
                <w:sz w:val="21"/>
                <w:szCs w:val="21"/>
                <w:u w:val="none"/>
                <w:lang w:val="en-US" w:eastAsia="zh-CN" w:bidi="ar"/>
              </w:rPr>
              <w:t>塑钢）门窗</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77687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3AF0D0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46DAD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墙面卷材防水</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9D13A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4.95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2C349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0B5F4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E7E87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4.95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D6C7D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58D02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990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74386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954A3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后墙及两侧山墙，PVC防水布一道</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BAE62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1B6243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B311A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1A615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0.99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09D9F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833F0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2B5A4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0.99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A3DA1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032C5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3564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C948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B4D71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50目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6A233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78940B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2E2E6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492B2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15.44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35AF1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095F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E1C09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15.44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935DD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36C15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11880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CA07D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7E047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475FF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0.14%</w:t>
            </w:r>
          </w:p>
        </w:tc>
      </w:tr>
      <w:tr w14:paraId="126E17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880D4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日光温室12mx120m-24个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CE288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1738.78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F435A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DAD15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0D716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1738.78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23A8E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89BF8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34560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87A81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1148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9351B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16.25%</w:t>
            </w:r>
          </w:p>
        </w:tc>
      </w:tr>
      <w:tr w14:paraId="3B8768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F25EE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BF66A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490.75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7F145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8E29B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6699D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490.75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91633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C1691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34560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B3354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142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360D0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5C21B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10A1CD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A31BC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2D2CB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1181.95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A9589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EF258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54BCC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1181.95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A358B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EC6A8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41472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E3BE5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ACBA8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23947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1FDE03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51987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门窗工程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DB11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3.86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73C62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B24E7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6D39D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3.86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68CD1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9130A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168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C6EA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E9122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金属</w:t>
            </w:r>
            <w:r>
              <w:rPr>
                <w:rFonts w:hint="eastAsia" w:ascii="仿宋" w:hAnsi="仿宋" w:cs="仿宋"/>
                <w:i w:val="0"/>
                <w:iCs w:val="0"/>
                <w:color w:val="auto"/>
                <w:kern w:val="0"/>
                <w:sz w:val="21"/>
                <w:szCs w:val="21"/>
                <w:u w:val="none"/>
                <w:lang w:val="en-US" w:eastAsia="zh-CN" w:bidi="ar"/>
              </w:rPr>
              <w:t>（</w:t>
            </w:r>
            <w:r>
              <w:rPr>
                <w:rFonts w:hint="eastAsia" w:ascii="仿宋" w:hAnsi="仿宋" w:eastAsia="仿宋" w:cs="仿宋"/>
                <w:i w:val="0"/>
                <w:iCs w:val="0"/>
                <w:color w:val="auto"/>
                <w:kern w:val="0"/>
                <w:sz w:val="21"/>
                <w:szCs w:val="21"/>
                <w:u w:val="none"/>
                <w:lang w:val="en-US" w:eastAsia="zh-CN" w:bidi="ar"/>
              </w:rPr>
              <w:t>塑钢）门窗</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281D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10360D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8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92C2C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墙面卷材防水</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CB209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14.40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64BC8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34DD4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C217A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14.40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AA45E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CFB9C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2880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EB8AD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AA43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后墙及两侧山墙，PVC防水布一道</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4F6E4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21CA28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658C6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7A420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2.88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EB781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2C126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0B271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2.88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E22CA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F5EFE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10368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79323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DE6DA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50目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9B35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0B2B2E1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5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74B59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69341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44.93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8176E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A8655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9F832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44.93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68158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A7F4C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34560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E7AE1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7EFD1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A29DE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0.42%</w:t>
            </w:r>
          </w:p>
        </w:tc>
      </w:tr>
      <w:tr w14:paraId="2289EE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06FB0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日光温室12mx130m-5个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850C1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390.81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53F9C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5CC24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BC69A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390.81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4374E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131C7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BCDA7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1D7A6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7B046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3.65%</w:t>
            </w:r>
          </w:p>
        </w:tc>
      </w:tr>
      <w:tr w14:paraId="5C7FD50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4E48D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D29DF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109.20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45238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C4624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60F26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109.20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6A44F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496CE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7AAA7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87860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AC893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53F141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8251F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63A0C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266.76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06183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90AA3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50148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266.76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8A990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9B5C5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9360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68071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36A7A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1B8E5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2F2D5C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E20B5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门窗工程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49A39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0.81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9D7F3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03FB1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C7206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0.81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5093B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FAF4D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35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6E175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C53C5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金属</w:t>
            </w:r>
            <w:r>
              <w:rPr>
                <w:rFonts w:hint="eastAsia" w:ascii="仿宋" w:hAnsi="仿宋" w:cs="仿宋"/>
                <w:i w:val="0"/>
                <w:iCs w:val="0"/>
                <w:color w:val="auto"/>
                <w:kern w:val="0"/>
                <w:sz w:val="21"/>
                <w:szCs w:val="21"/>
                <w:u w:val="none"/>
                <w:lang w:val="en-US" w:eastAsia="zh-CN" w:bidi="ar"/>
              </w:rPr>
              <w:t>（</w:t>
            </w:r>
            <w:r>
              <w:rPr>
                <w:rFonts w:hint="eastAsia" w:ascii="仿宋" w:hAnsi="仿宋" w:eastAsia="仿宋" w:cs="仿宋"/>
                <w:i w:val="0"/>
                <w:iCs w:val="0"/>
                <w:color w:val="auto"/>
                <w:kern w:val="0"/>
                <w:sz w:val="21"/>
                <w:szCs w:val="21"/>
                <w:u w:val="none"/>
                <w:lang w:val="en-US" w:eastAsia="zh-CN" w:bidi="ar"/>
              </w:rPr>
              <w:t>塑钢）门窗</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B917A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758456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8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B7C90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墙面卷材防水</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E2E2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3.25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97E8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4D63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A5614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3.25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69D6D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6850C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650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C26EF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E61AE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后墙及两侧山墙，PVC防水布一道</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AF3AA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2D16AF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00767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D432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0.65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B7BF4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505E1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30D37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0.65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99F63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1BD80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2340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E8D9E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1D224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50目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A6B12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4A16FB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5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CE39F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33DB3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10.14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A8902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AB7C0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77A11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10.14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1586B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0E185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3CFBB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69FA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7D425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0.09%</w:t>
            </w:r>
          </w:p>
        </w:tc>
      </w:tr>
      <w:tr w14:paraId="7B9C82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348FD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日光温室12mx140m-13个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7E4DB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1083.17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3B53A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D05DA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8C8E5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1083.17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2AEB4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6A524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21840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8597C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44F0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BF096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10.12%</w:t>
            </w:r>
          </w:p>
        </w:tc>
      </w:tr>
      <w:tr w14:paraId="0FFA1DF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7A137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FEBD9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294.84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24ED4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8F03A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1D0BB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294.84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E79CC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B22F3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21840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E8FE4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EEC2A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AE604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320D91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97972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9A59A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746.93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9B5A9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CED51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CF012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746.93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370A0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BF97C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26208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5F5C9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11458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48376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32E501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F541E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门窗工程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0B33C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2.09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52964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3A9BF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40975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2.09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3FD99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542E5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91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CAD77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900BA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金属</w:t>
            </w:r>
            <w:r>
              <w:rPr>
                <w:rFonts w:hint="eastAsia" w:ascii="仿宋" w:hAnsi="仿宋" w:cs="仿宋"/>
                <w:i w:val="0"/>
                <w:iCs w:val="0"/>
                <w:color w:val="auto"/>
                <w:kern w:val="0"/>
                <w:sz w:val="21"/>
                <w:szCs w:val="21"/>
                <w:u w:val="none"/>
                <w:lang w:val="en-US" w:eastAsia="zh-CN" w:bidi="ar"/>
              </w:rPr>
              <w:t>（</w:t>
            </w:r>
            <w:r>
              <w:rPr>
                <w:rFonts w:hint="eastAsia" w:ascii="仿宋" w:hAnsi="仿宋" w:eastAsia="仿宋" w:cs="仿宋"/>
                <w:i w:val="0"/>
                <w:iCs w:val="0"/>
                <w:color w:val="auto"/>
                <w:kern w:val="0"/>
                <w:sz w:val="21"/>
                <w:szCs w:val="21"/>
                <w:u w:val="none"/>
                <w:lang w:val="en-US" w:eastAsia="zh-CN" w:bidi="ar"/>
              </w:rPr>
              <w:t>塑钢）门窗</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CDB6D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0224AD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8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547C1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墙面卷材防水</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D7B2F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9.10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1F204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A37D7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F5B41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9.10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B60F7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D734B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1820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2B8F9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B2FDB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后墙及两侧山墙，PVC防水布一道</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D7454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48C3DB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7E50C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58861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1.82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50096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EC2FC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A8A23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1.82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5473C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711E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6552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9C653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8FA92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50目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004BD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5B219B0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5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D81F8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B26C3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28.39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30AC0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DCE31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ABDBD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28.39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C01B2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44B6E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21840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97F8C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119C1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E1238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0.27%</w:t>
            </w:r>
          </w:p>
        </w:tc>
      </w:tr>
      <w:tr w14:paraId="35AE3E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2835E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日光温室12mx150m-11个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D52B3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975.93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A905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67995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127FF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975.93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C0126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FC66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19800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868DC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E5F76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577F1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9.12%</w:t>
            </w:r>
          </w:p>
        </w:tc>
      </w:tr>
      <w:tr w14:paraId="48023D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FCDC8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DBE6A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261.36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807D5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01114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4F140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261.36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6E556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9C855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19800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80CA3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132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5D82D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1CD65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106870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A4D04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D72BC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677.16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1D626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AA925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752B1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677.16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7C36B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8E07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23760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8DC13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051BC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FFF43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4CFB8F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AE989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门窗工程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A614D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1.77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F0410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F39CD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61CD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1.77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A4CD7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9AC9B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77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05D4E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6AE07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金属</w:t>
            </w:r>
            <w:r>
              <w:rPr>
                <w:rFonts w:hint="eastAsia" w:ascii="仿宋" w:hAnsi="仿宋" w:cs="仿宋"/>
                <w:i w:val="0"/>
                <w:iCs w:val="0"/>
                <w:color w:val="auto"/>
                <w:kern w:val="0"/>
                <w:sz w:val="21"/>
                <w:szCs w:val="21"/>
                <w:u w:val="none"/>
                <w:lang w:val="en-US" w:eastAsia="zh-CN" w:bidi="ar"/>
              </w:rPr>
              <w:t>（</w:t>
            </w:r>
            <w:r>
              <w:rPr>
                <w:rFonts w:hint="eastAsia" w:ascii="仿宋" w:hAnsi="仿宋" w:eastAsia="仿宋" w:cs="仿宋"/>
                <w:i w:val="0"/>
                <w:iCs w:val="0"/>
                <w:color w:val="auto"/>
                <w:kern w:val="0"/>
                <w:sz w:val="21"/>
                <w:szCs w:val="21"/>
                <w:u w:val="none"/>
                <w:lang w:val="en-US" w:eastAsia="zh-CN" w:bidi="ar"/>
              </w:rPr>
              <w:t>塑钢）门窗</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21CDF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45210D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8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86203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墙面卷材防水</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FB0E4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8.25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C3D0E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07775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AEC8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8.25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B863E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BC484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1650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2D363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078DD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后墙及两侧山墙，PVC防水布一道</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4F517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002DB5F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25C90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C63DA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1.65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A733C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6D0E8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DF428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1.65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C84EF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FD604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5940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74A5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C9CB2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50目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80D3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0AE472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5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0827D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2E653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25.74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F5AA9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B0513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AD91E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25.74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188A1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43D93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19800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BF305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97C32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032C5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0.24%</w:t>
            </w:r>
          </w:p>
        </w:tc>
      </w:tr>
      <w:tr w14:paraId="09C109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D5258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连栋温室</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5D8B1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1799.50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69368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99799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93C7A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1799.50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A1714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825FE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32800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C27EA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7F2DC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6C8E2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16.82%</w:t>
            </w:r>
          </w:p>
        </w:tc>
      </w:tr>
      <w:tr w14:paraId="63C967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80B06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连栋温室10mX80m-1个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CFE57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47.43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AF799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1B3D8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A4C6A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47.43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BC843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CC6DC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B3C50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1602E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DB887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0.44%</w:t>
            </w:r>
          </w:p>
        </w:tc>
      </w:tr>
      <w:tr w14:paraId="68A6B8F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F9B7C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A89CB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17.60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1D0F6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A03A9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2A55D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17.60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E34AF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FE599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E4E89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220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B1AD8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C6531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43E5EA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5DBC9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2AFD7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27.36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7E454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6E25A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12D07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27.36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7B724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F15E6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960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3B19C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44C96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B5DF5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739E22B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5CA95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AEE4D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0.07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94567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3F533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0526F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0.07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BE71B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A5962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240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01284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AC7C7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40目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8DE8B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1405C5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5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7731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9A09A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2.40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C7586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41316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6C265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2.40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D98B9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87926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C4103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EC966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EE030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0.02%</w:t>
            </w:r>
          </w:p>
        </w:tc>
      </w:tr>
      <w:tr w14:paraId="790C115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504D3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连栋温室20mX80m-1个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C9AC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98.53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20F58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C9BDE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44C55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98.53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082F1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54952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1600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ED889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E316C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29010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0.92%</w:t>
            </w:r>
          </w:p>
        </w:tc>
      </w:tr>
      <w:tr w14:paraId="13F7F0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7F19B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119F6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48.00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4D57D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26F2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EF88F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48.00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8C31E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0D67B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1600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C233E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300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9BEA4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9195F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600241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45CC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8DB1F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45.60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9F40B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7495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1E5FC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45.60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BA390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6B36A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1600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48D33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10851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32003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3E2E57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EFE0F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59220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0.13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DFE53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8AF30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E5BB5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0.13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BCDC4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8893D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480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AEF47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845A1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40目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D79DD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180CFD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5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11527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CCA21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4.80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FE9CF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452F2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C97F5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4.80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05F99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94DAB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1600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43B58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1A96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37CF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0.04%</w:t>
            </w:r>
          </w:p>
        </w:tc>
      </w:tr>
      <w:tr w14:paraId="72A5CB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C5230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连栋温室30mX80m-2个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B19DD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284.32 </w:t>
            </w:r>
          </w:p>
        </w:tc>
        <w:tc>
          <w:tcPr>
            <w:tcW w:w="3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DF668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1BDEA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BEAD5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284.32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6C758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9720A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472C4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86EB2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28A99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2.66%</w:t>
            </w:r>
          </w:p>
        </w:tc>
      </w:tr>
      <w:tr w14:paraId="7B3725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73DC0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2B46F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146.40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88FCD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8099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9C032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146.40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578E5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17750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B2FFF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305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2E5E4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8345A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774C69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92982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2D9D3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123.12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8A7F3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8F88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5349C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123.12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11B88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6CEED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4320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E7EA5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DBEA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F9B87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26DB8A8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10DB4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02790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0.40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CC1C4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7FF1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A2DBD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0.40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8D323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D5267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1440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6A167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66E40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40目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7736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7993C6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5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063B9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F81DA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14.40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527F9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8DE60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4EAFC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14.40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70969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D7BB9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4800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559EE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86F99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6DEB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0.13%</w:t>
            </w:r>
          </w:p>
        </w:tc>
      </w:tr>
      <w:tr w14:paraId="39141A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92836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连栋温室50mX80m-1个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A2256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238.93 </w:t>
            </w:r>
          </w:p>
        </w:tc>
        <w:tc>
          <w:tcPr>
            <w:tcW w:w="3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B4764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09071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63176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238.93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C441F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AC316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4000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65A4E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2082F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DF90A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2.23%</w:t>
            </w:r>
          </w:p>
        </w:tc>
      </w:tr>
      <w:tr w14:paraId="7A9A48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FBBE3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637FA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124.00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F5D18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2408E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3373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124.00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9A65B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211E8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4000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AFF1C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310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FF146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62610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62F931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E40D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C29B4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102.60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9CDAE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60EBC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525FD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102.60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68E21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8ACBA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3600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6E173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CF93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37369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29F5BA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23DE5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263DF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0.33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F703E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00992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1158A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0.33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6F14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11830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31D99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A948B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40目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A1C57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04A810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5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6B585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980D3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12.00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A0115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6356E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91A05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12.00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0E177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09729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4000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A97DB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4ADF8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9E6C6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0.11%</w:t>
            </w:r>
          </w:p>
        </w:tc>
      </w:tr>
      <w:tr w14:paraId="691264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499C1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连栋温室30mX150m-1个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B5250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280.95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8755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AE1FB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5B676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280.95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792D0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1DAF7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4500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03A2A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00ED9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3AEAF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2.63%</w:t>
            </w:r>
          </w:p>
        </w:tc>
      </w:tr>
      <w:tr w14:paraId="39180A4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E328B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FF8DD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126.00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6948F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FF57E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F1047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126.00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2098C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DA3F2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4500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324EE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416F2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CD946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4BD91C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ABC18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822E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141.08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72297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2F88C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09794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141.08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B2397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4D88A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4950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2AE7A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00760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8A59E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454BE7D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FF243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5C548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0.38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2AE08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E5E3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0D85A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0.38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F46A6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4DEA2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1350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47E30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0B48A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40目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823E9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755019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5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DDA16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D5B4F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13.50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4422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64951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2B0F4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13.50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F70FC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CF13C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4500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3D244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E8585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CB984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0.13%</w:t>
            </w:r>
          </w:p>
        </w:tc>
      </w:tr>
      <w:tr w14:paraId="597950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9CDED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连栋温室60mX150m-1个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7AB14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440.63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49C2D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B8B5D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1653A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440.63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522AF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6C827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9000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8CF12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3DC4B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C092D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4.12%</w:t>
            </w:r>
          </w:p>
        </w:tc>
      </w:tr>
      <w:tr w14:paraId="16A28A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9ABB6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D6FD2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211.50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515BB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99F76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1B6FD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211.50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63142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51F4F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9000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8F0F3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50940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34CAA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36DB81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91573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0F0AD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192.38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2AC01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54044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C3DE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192.38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D4BCD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40579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6750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4FF09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AB1BB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32AB5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124C26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35098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F9763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0.75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1A471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9E103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58256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0.75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ABE0E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C9312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2700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8233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D12AE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40目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A405A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4B5A17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5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EA172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C5290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36.00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21B6C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20B22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E50E7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36.00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08BDE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00D6B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9000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4D2B9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6D2DB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B7F0D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0.34%</w:t>
            </w:r>
          </w:p>
        </w:tc>
      </w:tr>
      <w:tr w14:paraId="14E181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15674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连栋温室90mX90m-1个</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487EE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408.71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CF2E9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43CE7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2CAFD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408.71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D4C12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2BC59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8100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FDA84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552CB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9B584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3.82%</w:t>
            </w:r>
          </w:p>
        </w:tc>
      </w:tr>
      <w:tr w14:paraId="37A7D5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3BA82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大棚钢结构工程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68D2A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202.50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403BA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3F0FA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63AF2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202.50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48732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93FDA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8100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0E873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992CE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F773A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14BC41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4F167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覆盖材料</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1F488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173.14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3147B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BAC93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F72F0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173.14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2D5FE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14B02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6075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78057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285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D0996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高效保温被及顶部PO膜</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A68ED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086198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CFEB9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防虫网</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7E523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0.68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0195A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34D47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EFE81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0.68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286F5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526FF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2430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672AC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028C3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40目</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9A4EE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36B628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5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00D53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AFF66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32.40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C22B7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42E17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E2C49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32.40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F94C0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284BC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8100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6A327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15ADD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含配电箱、电动卷帘机、电动卷膜器、配线等</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2F5B2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0.30%</w:t>
            </w:r>
          </w:p>
        </w:tc>
      </w:tr>
      <w:tr w14:paraId="68AD3D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5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AC20C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温室配套工程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0F1AB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177.00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EA8C2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674E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06D64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177.00 </w:t>
            </w:r>
          </w:p>
        </w:tc>
        <w:tc>
          <w:tcPr>
            <w:tcW w:w="1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9D388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项</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B5D09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1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8FD9B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1770000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2206F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水肥环控及物联网系统管线、给水管线</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D1705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1.65%</w:t>
            </w:r>
          </w:p>
        </w:tc>
      </w:tr>
      <w:tr w14:paraId="1BAC77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10DD7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物联网系统管线</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65DAD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775.00 </w:t>
            </w:r>
          </w:p>
        </w:tc>
        <w:tc>
          <w:tcPr>
            <w:tcW w:w="3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7A787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1FDE9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0619E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775.00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45C38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m</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67063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25000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82FC8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310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3C25A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含物联网系统</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0D742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7.24%</w:t>
            </w:r>
          </w:p>
        </w:tc>
      </w:tr>
      <w:tr w14:paraId="1D2D85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9C2BD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总图工程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1A372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1508.18 </w:t>
            </w:r>
          </w:p>
        </w:tc>
        <w:tc>
          <w:tcPr>
            <w:tcW w:w="3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DB07E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C60B4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379FF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1508.18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E7647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621C8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B6EF1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81DA0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09AA8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14.10%</w:t>
            </w:r>
          </w:p>
        </w:tc>
      </w:tr>
      <w:tr w14:paraId="53D4FA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6EDCB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土石方工程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B1774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102.68 </w:t>
            </w:r>
          </w:p>
        </w:tc>
        <w:tc>
          <w:tcPr>
            <w:tcW w:w="3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4ACA2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2A86A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AF484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102.68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34775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2A94F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885C4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B00CC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B92D7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135287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942D8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挖方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CA0D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56.17 </w:t>
            </w:r>
          </w:p>
        </w:tc>
        <w:tc>
          <w:tcPr>
            <w:tcW w:w="3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D8D22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2B755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E13E0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56.17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4F26E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m³</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07C5E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31205 </w:t>
            </w:r>
          </w:p>
        </w:tc>
        <w:tc>
          <w:tcPr>
            <w:tcW w:w="4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5BDC4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18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7C5D9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8A20A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093BD91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315A2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填方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7BD76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42.77 </w:t>
            </w:r>
          </w:p>
        </w:tc>
        <w:tc>
          <w:tcPr>
            <w:tcW w:w="3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F9DB1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E1FD1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31221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42.77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26A38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m³</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F9909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32902 </w:t>
            </w:r>
          </w:p>
        </w:tc>
        <w:tc>
          <w:tcPr>
            <w:tcW w:w="4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59CD7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7B610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34CEE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6A4CB0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B2A9D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借方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D19FC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3.73 </w:t>
            </w:r>
          </w:p>
        </w:tc>
        <w:tc>
          <w:tcPr>
            <w:tcW w:w="3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F052E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C714D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51719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3.73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3C817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m³</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157E4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1697 </w:t>
            </w:r>
          </w:p>
        </w:tc>
        <w:tc>
          <w:tcPr>
            <w:tcW w:w="45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CDE2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22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497A5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CE6B3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293088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F73B5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室外给水工程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3F767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48.00 </w:t>
            </w:r>
          </w:p>
        </w:tc>
        <w:tc>
          <w:tcPr>
            <w:tcW w:w="3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046E0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1DF3F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69DC0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48.00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0104D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m</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7183C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2000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C9BF4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240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C30FE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DN150PE 管</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47030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0.33%</w:t>
            </w:r>
          </w:p>
        </w:tc>
      </w:tr>
      <w:tr w14:paraId="60CE61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538B5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室外排水工程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4FFA9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91.00 </w:t>
            </w:r>
          </w:p>
        </w:tc>
        <w:tc>
          <w:tcPr>
            <w:tcW w:w="3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9673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0B0EB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93CCA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91.00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4DAD3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m</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737AE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2600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536EF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FED4C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0.8*0.6m混凝土排水沟</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2B591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0.85%</w:t>
            </w:r>
          </w:p>
        </w:tc>
      </w:tr>
      <w:tr w14:paraId="515171D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46E7E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室外电气工程</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E844D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552.50 </w:t>
            </w:r>
          </w:p>
        </w:tc>
        <w:tc>
          <w:tcPr>
            <w:tcW w:w="3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916EA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E049A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AC61C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552.50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49E26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m</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86003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8500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28B0B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FF120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YJY22-4x150+1x70、YJY22-4x240+1x120及YJV-(5x6)</w:t>
            </w:r>
            <w:r>
              <w:rPr>
                <w:rFonts w:hint="eastAsia" w:ascii="仿宋" w:hAnsi="仿宋" w:eastAsia="仿宋" w:cs="仿宋"/>
                <w:i w:val="0"/>
                <w:iCs w:val="0"/>
                <w:color w:val="auto"/>
                <w:kern w:val="0"/>
                <w:sz w:val="21"/>
                <w:szCs w:val="21"/>
                <w:u w:val="none"/>
                <w:lang w:val="en-US" w:eastAsia="zh-CN" w:bidi="ar"/>
              </w:rPr>
              <w:br w:type="textWrapping"/>
            </w:r>
            <w:r>
              <w:rPr>
                <w:rFonts w:hint="eastAsia" w:ascii="仿宋" w:hAnsi="仿宋" w:eastAsia="仿宋" w:cs="仿宋"/>
                <w:i w:val="0"/>
                <w:iCs w:val="0"/>
                <w:color w:val="auto"/>
                <w:kern w:val="0"/>
                <w:sz w:val="21"/>
                <w:szCs w:val="21"/>
                <w:u w:val="none"/>
                <w:lang w:val="en-US" w:eastAsia="zh-CN" w:bidi="ar"/>
              </w:rPr>
              <w:t>材质</w:t>
            </w:r>
            <w:r>
              <w:rPr>
                <w:rFonts w:hint="eastAsia" w:ascii="仿宋" w:hAnsi="仿宋" w:cs="仿宋"/>
                <w:i w:val="0"/>
                <w:iCs w:val="0"/>
                <w:color w:val="auto"/>
                <w:kern w:val="0"/>
                <w:sz w:val="21"/>
                <w:szCs w:val="21"/>
                <w:u w:val="none"/>
                <w:lang w:val="en-US" w:eastAsia="zh-CN" w:bidi="ar"/>
              </w:rPr>
              <w:t>：</w:t>
            </w:r>
            <w:r>
              <w:rPr>
                <w:rFonts w:hint="eastAsia" w:ascii="仿宋" w:hAnsi="仿宋" w:eastAsia="仿宋" w:cs="仿宋"/>
                <w:i w:val="0"/>
                <w:iCs w:val="0"/>
                <w:color w:val="auto"/>
                <w:kern w:val="0"/>
                <w:sz w:val="21"/>
                <w:szCs w:val="21"/>
                <w:u w:val="none"/>
                <w:lang w:val="en-US" w:eastAsia="zh-CN" w:bidi="ar"/>
              </w:rPr>
              <w:t>铜芯</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7972D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5.16%</w:t>
            </w:r>
          </w:p>
        </w:tc>
      </w:tr>
      <w:tr w14:paraId="7B97B1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8E28E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室外箱变</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FEE30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240.00 </w:t>
            </w:r>
          </w:p>
        </w:tc>
        <w:tc>
          <w:tcPr>
            <w:tcW w:w="3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255A2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6E02A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9502E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240.00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A8B16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个</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A519B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66564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1200000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1907A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800kva</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457B1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0E7236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AD8C0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内部道路硬化</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61F72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156.00 </w:t>
            </w:r>
          </w:p>
        </w:tc>
        <w:tc>
          <w:tcPr>
            <w:tcW w:w="36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E03CF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3766F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ECADB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156.00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F1266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m²</w:t>
            </w:r>
          </w:p>
        </w:tc>
        <w:tc>
          <w:tcPr>
            <w:tcW w:w="4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3D04F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10400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CF326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150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5D821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120厚C25水泥混凝土</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EB728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r>
      <w:tr w14:paraId="25488F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7DD0F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室外围栏</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4A61C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318.00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E31EC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68CF3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56DC1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318.00 </w:t>
            </w:r>
          </w:p>
        </w:tc>
        <w:tc>
          <w:tcPr>
            <w:tcW w:w="19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7D877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m</w:t>
            </w: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4793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5300 </w:t>
            </w: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BFE75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600 </w:t>
            </w: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E0C74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D2A3F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5.37%</w:t>
            </w:r>
          </w:p>
        </w:tc>
      </w:tr>
      <w:tr w14:paraId="2A20FD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66A48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工程建设其他费用</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12A7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79E58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47417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940.67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40F0A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auto"/>
                <w:sz w:val="21"/>
                <w:szCs w:val="21"/>
                <w:u w:val="none"/>
              </w:rPr>
            </w:pPr>
            <w:r>
              <w:rPr>
                <w:rFonts w:hint="eastAsia" w:ascii="仿宋" w:hAnsi="仿宋" w:eastAsia="仿宋" w:cs="仿宋"/>
                <w:b/>
                <w:bCs/>
                <w:i w:val="0"/>
                <w:iCs w:val="0"/>
                <w:color w:val="auto"/>
                <w:kern w:val="0"/>
                <w:sz w:val="21"/>
                <w:szCs w:val="21"/>
                <w:u w:val="none"/>
                <w:lang w:val="en-US" w:eastAsia="zh-CN" w:bidi="ar"/>
              </w:rPr>
              <w:t xml:space="preserve">940.67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BC6C2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58A52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8.79%</w:t>
            </w:r>
          </w:p>
        </w:tc>
      </w:tr>
      <w:tr w14:paraId="00D793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86346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建设单位管理费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B903A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2309C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29A7E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147.00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1CD97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147.00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370840D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参考财建</w:t>
            </w:r>
            <w:r>
              <w:rPr>
                <w:rFonts w:hint="eastAsia" w:ascii="仿宋" w:hAnsi="仿宋" w:cs="仿宋"/>
                <w:i w:val="0"/>
                <w:iCs w:val="0"/>
                <w:color w:val="auto"/>
                <w:kern w:val="0"/>
                <w:sz w:val="21"/>
                <w:szCs w:val="21"/>
                <w:u w:val="none"/>
                <w:lang w:val="en-US" w:eastAsia="zh-CN" w:bidi="ar"/>
              </w:rPr>
              <w:t>〔2016〕504号</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90F62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1.37%</w:t>
            </w:r>
          </w:p>
        </w:tc>
      </w:tr>
      <w:tr w14:paraId="7F1E5F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95016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场地准备及临时设施费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D321F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4485A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788EF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43.43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36490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43.43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44C04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按一部分工程费的0.5%计取</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E7645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0.41%</w:t>
            </w:r>
          </w:p>
        </w:tc>
      </w:tr>
      <w:tr w14:paraId="01401D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2CEB5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可行性研究报告编制费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790D3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B0683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B9E4B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23.06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59EE1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23.06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3150838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参照计价格</w:t>
            </w:r>
            <w:r>
              <w:rPr>
                <w:rFonts w:hint="eastAsia" w:ascii="仿宋" w:hAnsi="仿宋" w:cs="仿宋"/>
                <w:i w:val="0"/>
                <w:iCs w:val="0"/>
                <w:color w:val="auto"/>
                <w:kern w:val="0"/>
                <w:sz w:val="21"/>
                <w:szCs w:val="21"/>
                <w:u w:val="none"/>
                <w:lang w:val="en-US" w:eastAsia="zh-CN" w:bidi="ar"/>
              </w:rPr>
              <w:t>〔1999〕</w:t>
            </w:r>
            <w:r>
              <w:rPr>
                <w:rFonts w:hint="eastAsia" w:ascii="仿宋" w:hAnsi="仿宋" w:eastAsia="仿宋" w:cs="仿宋"/>
                <w:i w:val="0"/>
                <w:iCs w:val="0"/>
                <w:color w:val="auto"/>
                <w:kern w:val="0"/>
                <w:sz w:val="21"/>
                <w:szCs w:val="21"/>
                <w:u w:val="none"/>
                <w:lang w:val="en-US" w:eastAsia="zh-CN" w:bidi="ar"/>
              </w:rPr>
              <w:t>1283号计取</w:t>
            </w:r>
            <w:r>
              <w:rPr>
                <w:rFonts w:hint="eastAsia" w:ascii="仿宋" w:hAnsi="仿宋" w:cs="仿宋"/>
                <w:i w:val="0"/>
                <w:iCs w:val="0"/>
                <w:color w:val="auto"/>
                <w:kern w:val="0"/>
                <w:sz w:val="21"/>
                <w:szCs w:val="21"/>
                <w:u w:val="none"/>
                <w:lang w:val="en-US" w:eastAsia="zh-CN" w:bidi="ar"/>
              </w:rPr>
              <w:t>，</w:t>
            </w:r>
            <w:r>
              <w:rPr>
                <w:rFonts w:hint="eastAsia" w:ascii="仿宋" w:hAnsi="仿宋" w:eastAsia="仿宋" w:cs="仿宋"/>
                <w:i w:val="0"/>
                <w:iCs w:val="0"/>
                <w:color w:val="auto"/>
                <w:kern w:val="0"/>
                <w:sz w:val="21"/>
                <w:szCs w:val="21"/>
                <w:u w:val="none"/>
                <w:lang w:val="en-US" w:eastAsia="zh-CN" w:bidi="ar"/>
              </w:rPr>
              <w:t>下浮20%</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56E3A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0.22%</w:t>
            </w:r>
          </w:p>
        </w:tc>
      </w:tr>
      <w:tr w14:paraId="3FA851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EE8B2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可行性研究报告评审费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993DC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4D1F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D32C3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8.07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D9F3E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8.07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3D27E3E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参照计价格</w:t>
            </w:r>
            <w:r>
              <w:rPr>
                <w:rFonts w:hint="eastAsia" w:ascii="仿宋" w:hAnsi="仿宋" w:cs="仿宋"/>
                <w:i w:val="0"/>
                <w:iCs w:val="0"/>
                <w:color w:val="auto"/>
                <w:kern w:val="0"/>
                <w:sz w:val="21"/>
                <w:szCs w:val="21"/>
                <w:u w:val="none"/>
                <w:lang w:val="en-US" w:eastAsia="zh-CN" w:bidi="ar"/>
              </w:rPr>
              <w:t>〔1999〕</w:t>
            </w:r>
            <w:r>
              <w:rPr>
                <w:rFonts w:hint="eastAsia" w:ascii="仿宋" w:hAnsi="仿宋" w:eastAsia="仿宋" w:cs="仿宋"/>
                <w:i w:val="0"/>
                <w:iCs w:val="0"/>
                <w:color w:val="auto"/>
                <w:kern w:val="0"/>
                <w:sz w:val="21"/>
                <w:szCs w:val="21"/>
                <w:u w:val="none"/>
                <w:lang w:val="en-US" w:eastAsia="zh-CN" w:bidi="ar"/>
              </w:rPr>
              <w:t>1283号计取</w:t>
            </w:r>
            <w:r>
              <w:rPr>
                <w:rFonts w:hint="eastAsia" w:ascii="仿宋" w:hAnsi="仿宋" w:cs="仿宋"/>
                <w:i w:val="0"/>
                <w:iCs w:val="0"/>
                <w:color w:val="auto"/>
                <w:kern w:val="0"/>
                <w:sz w:val="21"/>
                <w:szCs w:val="21"/>
                <w:u w:val="none"/>
                <w:lang w:val="en-US" w:eastAsia="zh-CN" w:bidi="ar"/>
              </w:rPr>
              <w:t>，</w:t>
            </w:r>
            <w:r>
              <w:rPr>
                <w:rFonts w:hint="eastAsia" w:ascii="仿宋" w:hAnsi="仿宋" w:eastAsia="仿宋" w:cs="仿宋"/>
                <w:i w:val="0"/>
                <w:iCs w:val="0"/>
                <w:color w:val="auto"/>
                <w:kern w:val="0"/>
                <w:sz w:val="21"/>
                <w:szCs w:val="21"/>
                <w:u w:val="none"/>
                <w:lang w:val="en-US" w:eastAsia="zh-CN" w:bidi="ar"/>
              </w:rPr>
              <w:t>下浮20%</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FDE0B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0.08%</w:t>
            </w:r>
          </w:p>
        </w:tc>
      </w:tr>
      <w:tr w14:paraId="6F5244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6307E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勘察、测绘费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41A48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978D9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D8AAD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69.49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F9462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69.49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0CF9ECA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参考计价格</w:t>
            </w:r>
            <w:r>
              <w:rPr>
                <w:rFonts w:hint="eastAsia" w:ascii="仿宋" w:hAnsi="仿宋" w:cs="仿宋"/>
                <w:i w:val="0"/>
                <w:iCs w:val="0"/>
                <w:color w:val="auto"/>
                <w:kern w:val="0"/>
                <w:sz w:val="21"/>
                <w:szCs w:val="21"/>
                <w:u w:val="none"/>
                <w:lang w:val="en-US" w:eastAsia="zh-CN" w:bidi="ar"/>
              </w:rPr>
              <w:t>〔2007〕10号</w:t>
            </w:r>
            <w:r>
              <w:rPr>
                <w:rFonts w:hint="eastAsia" w:ascii="仿宋" w:hAnsi="仿宋" w:eastAsia="仿宋" w:cs="仿宋"/>
                <w:i w:val="0"/>
                <w:iCs w:val="0"/>
                <w:color w:val="auto"/>
                <w:kern w:val="0"/>
                <w:sz w:val="21"/>
                <w:szCs w:val="21"/>
                <w:u w:val="none"/>
                <w:lang w:val="en-US" w:eastAsia="zh-CN" w:bidi="ar"/>
              </w:rPr>
              <w:t>计取</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EED49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0.65%</w:t>
            </w:r>
          </w:p>
        </w:tc>
      </w:tr>
      <w:tr w14:paraId="23E767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30F21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设计费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9A60B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D4C63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DC9F7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268.53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5FF97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268.53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E8F2C8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根据发改价格〔2015〕299号、计价格〔2002〕10号计取</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CBAF2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2.51%</w:t>
            </w:r>
          </w:p>
        </w:tc>
      </w:tr>
      <w:tr w14:paraId="76B986B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B3914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施工图审查费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C6406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17031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ADD13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13.90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F72A7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13.90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355BB1D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参考川发改价格</w:t>
            </w:r>
            <w:r>
              <w:rPr>
                <w:rFonts w:hint="eastAsia" w:ascii="仿宋" w:hAnsi="仿宋" w:cs="仿宋"/>
                <w:i w:val="0"/>
                <w:iCs w:val="0"/>
                <w:color w:val="auto"/>
                <w:kern w:val="0"/>
                <w:sz w:val="21"/>
                <w:szCs w:val="21"/>
                <w:u w:val="none"/>
                <w:lang w:val="en-US" w:eastAsia="zh-CN" w:bidi="ar"/>
              </w:rPr>
              <w:t>〔2011〕323号</w:t>
            </w:r>
            <w:r>
              <w:rPr>
                <w:rFonts w:hint="eastAsia" w:ascii="仿宋" w:hAnsi="仿宋" w:eastAsia="仿宋" w:cs="仿宋"/>
                <w:i w:val="0"/>
                <w:iCs w:val="0"/>
                <w:color w:val="auto"/>
                <w:kern w:val="0"/>
                <w:sz w:val="21"/>
                <w:szCs w:val="21"/>
                <w:u w:val="none"/>
                <w:lang w:val="en-US" w:eastAsia="zh-CN" w:bidi="ar"/>
              </w:rPr>
              <w:t>，按一部分工程费的0.16%取费</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BC175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0.13%</w:t>
            </w:r>
          </w:p>
        </w:tc>
      </w:tr>
      <w:tr w14:paraId="559EB5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E4E7D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招标代理费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BE2F0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74FE9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975C3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22.34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8BA20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22.34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012DE2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参照计价格〔2002〕1980号</w:t>
            </w:r>
            <w:r>
              <w:rPr>
                <w:rFonts w:hint="eastAsia" w:ascii="仿宋" w:hAnsi="仿宋" w:cs="仿宋"/>
                <w:i w:val="0"/>
                <w:iCs w:val="0"/>
                <w:color w:val="auto"/>
                <w:kern w:val="0"/>
                <w:sz w:val="21"/>
                <w:szCs w:val="21"/>
                <w:u w:val="none"/>
                <w:lang w:val="en-US" w:eastAsia="zh-CN" w:bidi="ar"/>
              </w:rPr>
              <w:t>，</w:t>
            </w:r>
            <w:r>
              <w:rPr>
                <w:rFonts w:hint="eastAsia" w:ascii="仿宋" w:hAnsi="仿宋" w:eastAsia="仿宋" w:cs="仿宋"/>
                <w:i w:val="0"/>
                <w:iCs w:val="0"/>
                <w:color w:val="auto"/>
                <w:kern w:val="0"/>
                <w:sz w:val="21"/>
                <w:szCs w:val="21"/>
                <w:u w:val="none"/>
                <w:lang w:val="en-US" w:eastAsia="zh-CN" w:bidi="ar"/>
              </w:rPr>
              <w:t>下浮20%</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52E2C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0.21%</w:t>
            </w:r>
          </w:p>
        </w:tc>
      </w:tr>
      <w:tr w14:paraId="608D9E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94D72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工程监理费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B0E74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F0F77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B1A6A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145.83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04274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145.83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14A73AB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根据发改价格〔2015〕299号，参照发改价格〔2007〕670号下浮20%计算</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C334E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1.36%</w:t>
            </w:r>
          </w:p>
        </w:tc>
      </w:tr>
      <w:tr w14:paraId="4CB7CF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A1E7B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竣工结算审查费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699BD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31DFA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55305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20.72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B0FF3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20.72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1EBDEEB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参照川价发</w:t>
            </w:r>
            <w:r>
              <w:rPr>
                <w:rFonts w:hint="eastAsia" w:ascii="仿宋" w:hAnsi="仿宋" w:cs="仿宋"/>
                <w:i w:val="0"/>
                <w:iCs w:val="0"/>
                <w:color w:val="auto"/>
                <w:kern w:val="0"/>
                <w:sz w:val="21"/>
                <w:szCs w:val="21"/>
                <w:u w:val="none"/>
                <w:lang w:val="en-US" w:eastAsia="zh-CN" w:bidi="ar"/>
              </w:rPr>
              <w:t>〔2008〕141号</w:t>
            </w:r>
            <w:r>
              <w:rPr>
                <w:rFonts w:hint="eastAsia" w:ascii="仿宋" w:hAnsi="仿宋" w:eastAsia="仿宋" w:cs="仿宋"/>
                <w:i w:val="0"/>
                <w:iCs w:val="0"/>
                <w:color w:val="auto"/>
                <w:kern w:val="0"/>
                <w:sz w:val="21"/>
                <w:szCs w:val="21"/>
                <w:u w:val="none"/>
                <w:lang w:val="en-US" w:eastAsia="zh-CN" w:bidi="ar"/>
              </w:rPr>
              <w:t>，按川发改价格</w:t>
            </w:r>
            <w:r>
              <w:rPr>
                <w:rFonts w:hint="eastAsia" w:ascii="仿宋" w:hAnsi="仿宋" w:cs="仿宋"/>
                <w:i w:val="0"/>
                <w:iCs w:val="0"/>
                <w:color w:val="auto"/>
                <w:kern w:val="0"/>
                <w:sz w:val="21"/>
                <w:szCs w:val="21"/>
                <w:u w:val="none"/>
                <w:lang w:val="en-US" w:eastAsia="zh-CN" w:bidi="ar"/>
              </w:rPr>
              <w:t>〔2015〕299号</w:t>
            </w:r>
            <w:r>
              <w:rPr>
                <w:rFonts w:hint="eastAsia" w:ascii="仿宋" w:hAnsi="仿宋" w:eastAsia="仿宋" w:cs="仿宋"/>
                <w:i w:val="0"/>
                <w:iCs w:val="0"/>
                <w:color w:val="auto"/>
                <w:kern w:val="0"/>
                <w:sz w:val="21"/>
                <w:szCs w:val="21"/>
                <w:u w:val="none"/>
                <w:lang w:val="en-US" w:eastAsia="zh-CN" w:bidi="ar"/>
              </w:rPr>
              <w:t>执行下浮20%计算</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3371E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0.19%</w:t>
            </w:r>
          </w:p>
        </w:tc>
      </w:tr>
      <w:tr w14:paraId="676582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73E9A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编制工程量清单及招标控制价</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F2CFE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4B87D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84D9A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28.37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38C8D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28.37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1DBB2C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参照川价发</w:t>
            </w:r>
            <w:r>
              <w:rPr>
                <w:rFonts w:hint="eastAsia" w:ascii="仿宋" w:hAnsi="仿宋" w:cs="仿宋"/>
                <w:i w:val="0"/>
                <w:iCs w:val="0"/>
                <w:color w:val="auto"/>
                <w:kern w:val="0"/>
                <w:sz w:val="21"/>
                <w:szCs w:val="21"/>
                <w:u w:val="none"/>
                <w:lang w:val="en-US" w:eastAsia="zh-CN" w:bidi="ar"/>
              </w:rPr>
              <w:t>〔2008〕141号</w:t>
            </w:r>
            <w:r>
              <w:rPr>
                <w:rFonts w:hint="eastAsia" w:ascii="仿宋" w:hAnsi="仿宋" w:eastAsia="仿宋" w:cs="仿宋"/>
                <w:i w:val="0"/>
                <w:iCs w:val="0"/>
                <w:color w:val="auto"/>
                <w:kern w:val="0"/>
                <w:sz w:val="21"/>
                <w:szCs w:val="21"/>
                <w:u w:val="none"/>
                <w:lang w:val="en-US" w:eastAsia="zh-CN" w:bidi="ar"/>
              </w:rPr>
              <w:t>，按川发改价格</w:t>
            </w:r>
            <w:r>
              <w:rPr>
                <w:rFonts w:hint="eastAsia" w:ascii="仿宋" w:hAnsi="仿宋" w:cs="仿宋"/>
                <w:i w:val="0"/>
                <w:iCs w:val="0"/>
                <w:color w:val="auto"/>
                <w:kern w:val="0"/>
                <w:sz w:val="21"/>
                <w:szCs w:val="21"/>
                <w:u w:val="none"/>
                <w:lang w:val="en-US" w:eastAsia="zh-CN" w:bidi="ar"/>
              </w:rPr>
              <w:t>〔2015〕299号</w:t>
            </w:r>
            <w:r>
              <w:rPr>
                <w:rFonts w:hint="eastAsia" w:ascii="仿宋" w:hAnsi="仿宋" w:eastAsia="仿宋" w:cs="仿宋"/>
                <w:i w:val="0"/>
                <w:iCs w:val="0"/>
                <w:color w:val="auto"/>
                <w:kern w:val="0"/>
                <w:sz w:val="21"/>
                <w:szCs w:val="21"/>
                <w:u w:val="none"/>
                <w:lang w:val="en-US" w:eastAsia="zh-CN" w:bidi="ar"/>
              </w:rPr>
              <w:t>执行下浮20%计算</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35115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0.27%</w:t>
            </w:r>
          </w:p>
        </w:tc>
      </w:tr>
      <w:tr w14:paraId="5FD472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40A17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工程保险费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AE90B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F23B6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48217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26.06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C3789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26.06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2206751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按工程费用的0.3%计算</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F0200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0.24%</w:t>
            </w:r>
          </w:p>
        </w:tc>
      </w:tr>
      <w:tr w14:paraId="1774DC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8E2EF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工程检测费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81085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7CCB8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82986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43.43 </w:t>
            </w:r>
          </w:p>
        </w:tc>
        <w:tc>
          <w:tcPr>
            <w:tcW w:w="43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9EF30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43.43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0B8F7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按一部分工程费的0.5%计取</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126BA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0.41%</w:t>
            </w:r>
          </w:p>
        </w:tc>
      </w:tr>
      <w:tr w14:paraId="052183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D65F7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安全预评价</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39CE1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9EA4B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FBF22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12.28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AB200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12.28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71917D0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参照川职安评〔2010〕42号文件下浮20%计算</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C9665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0.11%</w:t>
            </w:r>
          </w:p>
        </w:tc>
      </w:tr>
      <w:tr w14:paraId="694A10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4C0D6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地质灾害评估报告</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C3AC9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7AA42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14EDF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11.14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D6A5F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11.14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2AE12BE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暂估</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A4EBB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0.10%</w:t>
            </w:r>
          </w:p>
        </w:tc>
      </w:tr>
      <w:tr w14:paraId="33A9A1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06683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水土保持方案费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350D0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0999E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0F284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15.08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C0AC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15.08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1FB27A4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参考《关于开发建设项目水土保持咨询服务费用计列的指导意见》（保监〔2005〕22号）下浮20%</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B3945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0.14%</w:t>
            </w:r>
          </w:p>
        </w:tc>
      </w:tr>
      <w:tr w14:paraId="095C40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0EC0A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水土保持补偿费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DF19C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86D2D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A9BAE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41.95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DCE8C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41.95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3EEB1BD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《四川省发展和改革委员会四川省财政厅关于制定水土保持补偿费收费标准的通知》（川发改价格〔2017〕347号）</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239F7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0.39%</w:t>
            </w:r>
          </w:p>
        </w:tc>
      </w:tr>
      <w:tr w14:paraId="44C391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D91D8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预备费</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E8D60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13281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304DB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777.60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7F694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777.60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42A183B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按第一、二部分费用之和的7%计取</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CCB4F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6.51%</w:t>
            </w:r>
          </w:p>
        </w:tc>
      </w:tr>
      <w:tr w14:paraId="26E47A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39A9E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建设期利息及发行费用</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A3311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3A02A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64D59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296.00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A6E26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296.00 </w:t>
            </w:r>
          </w:p>
        </w:tc>
        <w:tc>
          <w:tcPr>
            <w:tcW w:w="19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F5F9A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BAF00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5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7AFDC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11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79EE8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3C01B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3.52%</w:t>
            </w:r>
          </w:p>
        </w:tc>
      </w:tr>
      <w:tr w14:paraId="53AEA5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42133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建设期利息</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CE65D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FF3C3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117EE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287.50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E8DF6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287.50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62F66EE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发行专项债券8500万元，第一年发行3000万元，第二年发行5500万元，年利率2.50%</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5C659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3.44%</w:t>
            </w:r>
          </w:p>
        </w:tc>
      </w:tr>
      <w:tr w14:paraId="01B0CB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6DF13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发行费用</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F74E7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FAC6C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27D7D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8.50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8A4DA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8.50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22F6C5E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发行金额的0.1%</w:t>
            </w: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AA9AF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0.08%</w:t>
            </w:r>
          </w:p>
        </w:tc>
      </w:tr>
      <w:tr w14:paraId="23A7B2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5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FAF39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合计</w:t>
            </w:r>
          </w:p>
        </w:tc>
        <w:tc>
          <w:tcPr>
            <w:tcW w:w="53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47E89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8685.73 </w:t>
            </w:r>
          </w:p>
        </w:tc>
        <w:tc>
          <w:tcPr>
            <w:tcW w:w="36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05BF4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0.00 </w:t>
            </w:r>
          </w:p>
        </w:tc>
        <w:tc>
          <w:tcPr>
            <w:tcW w:w="43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1D879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2014.27 </w:t>
            </w:r>
          </w:p>
        </w:tc>
        <w:tc>
          <w:tcPr>
            <w:tcW w:w="43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F641E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 xml:space="preserve">10700.00 </w:t>
            </w:r>
          </w:p>
        </w:tc>
        <w:tc>
          <w:tcPr>
            <w:tcW w:w="2198"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26FFF3D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i w:val="0"/>
                <w:iCs w:val="0"/>
                <w:color w:val="auto"/>
                <w:sz w:val="21"/>
                <w:szCs w:val="21"/>
                <w:u w:val="none"/>
              </w:rPr>
            </w:pPr>
          </w:p>
        </w:tc>
        <w:tc>
          <w:tcPr>
            <w:tcW w:w="3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01AC9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auto"/>
                <w:sz w:val="21"/>
                <w:szCs w:val="21"/>
                <w:u w:val="none"/>
              </w:rPr>
            </w:pPr>
            <w:r>
              <w:rPr>
                <w:rFonts w:hint="eastAsia" w:ascii="仿宋" w:hAnsi="仿宋" w:eastAsia="仿宋" w:cs="仿宋"/>
                <w:i w:val="0"/>
                <w:iCs w:val="0"/>
                <w:color w:val="auto"/>
                <w:kern w:val="0"/>
                <w:sz w:val="21"/>
                <w:szCs w:val="21"/>
                <w:u w:val="none"/>
                <w:lang w:val="en-US" w:eastAsia="zh-CN" w:bidi="ar"/>
              </w:rPr>
              <w:t>100.00%</w:t>
            </w:r>
          </w:p>
        </w:tc>
      </w:tr>
    </w:tbl>
    <w:p w14:paraId="46CBE241">
      <w:pPr>
        <w:spacing w:before="0" w:after="0" w:line="0" w:lineRule="atLeast"/>
        <w:ind w:firstLine="0" w:firstLineChars="0"/>
        <w:jc w:val="right"/>
        <w:rPr>
          <w:rFonts w:hint="default" w:ascii="Times New Roman" w:hAnsi="Times New Roman" w:cs="Times New Roman"/>
          <w:b/>
          <w:bCs/>
          <w:szCs w:val="28"/>
          <w:highlight w:val="none"/>
        </w:rPr>
      </w:pPr>
    </w:p>
    <w:p w14:paraId="7A27F7FA">
      <w:pPr>
        <w:pStyle w:val="16"/>
        <w:sectPr>
          <w:headerReference r:id="rId5" w:type="first"/>
          <w:headerReference r:id="rId3" w:type="default"/>
          <w:footerReference r:id="rId6" w:type="default"/>
          <w:headerReference r:id="rId4" w:type="even"/>
          <w:footerReference r:id="rId7" w:type="even"/>
          <w:pgSz w:w="16838" w:h="11906" w:orient="landscape"/>
          <w:pgMar w:top="1644" w:right="2098" w:bottom="1418" w:left="1588" w:header="851" w:footer="992" w:gutter="0"/>
          <w:pgNumType w:fmt="numberInDash"/>
          <w:cols w:space="720" w:num="1"/>
          <w:docGrid w:type="lines" w:linePitch="435" w:charSpace="0"/>
        </w:sectPr>
      </w:pPr>
    </w:p>
    <w:p w14:paraId="7976F5E2">
      <w:pPr>
        <w:spacing w:line="560" w:lineRule="exact"/>
        <w:ind w:firstLine="643" w:firstLineChars="200"/>
        <w:rPr>
          <w:rFonts w:ascii="楷体_GB2312" w:eastAsia="楷体_GB2312"/>
          <w:b/>
          <w:sz w:val="32"/>
          <w:szCs w:val="32"/>
        </w:rPr>
      </w:pPr>
      <w:r>
        <w:rPr>
          <w:rFonts w:hint="eastAsia" w:ascii="楷体_GB2312" w:eastAsia="楷体_GB2312"/>
          <w:b/>
          <w:sz w:val="32"/>
          <w:szCs w:val="32"/>
        </w:rPr>
        <w:t>（二）资金筹措方案</w:t>
      </w:r>
    </w:p>
    <w:p w14:paraId="5B8B102C">
      <w:pPr>
        <w:spacing w:line="560" w:lineRule="exact"/>
        <w:ind w:firstLine="643" w:firstLineChars="200"/>
        <w:rPr>
          <w:rFonts w:hint="eastAsia" w:ascii="仿宋_GB2312" w:eastAsia="仿宋_GB2312"/>
          <w:b/>
          <w:sz w:val="32"/>
          <w:szCs w:val="32"/>
        </w:rPr>
      </w:pPr>
      <w:r>
        <w:rPr>
          <w:rFonts w:hint="eastAsia" w:ascii="仿宋_GB2312" w:eastAsia="仿宋_GB2312"/>
          <w:b/>
          <w:sz w:val="32"/>
          <w:szCs w:val="32"/>
        </w:rPr>
        <w:t>1.</w:t>
      </w:r>
      <w:r>
        <w:rPr>
          <w:rFonts w:hint="eastAsia"/>
        </w:rPr>
        <w:t xml:space="preserve"> </w:t>
      </w:r>
      <w:r>
        <w:rPr>
          <w:rFonts w:hint="eastAsia" w:ascii="仿宋_GB2312" w:eastAsia="仿宋_GB2312"/>
          <w:b/>
          <w:sz w:val="32"/>
          <w:szCs w:val="32"/>
        </w:rPr>
        <w:t>资金筹集情况</w:t>
      </w:r>
    </w:p>
    <w:p w14:paraId="51D7C6B5">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资本金来源：资本金均来源于地方财政配套资金，项目资本金2200.00万元，占项目总投资的20.56%。</w:t>
      </w:r>
    </w:p>
    <w:p w14:paraId="513E8282">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融资来源：融资来源于地方政府专项债，融资金额8500.00万元。</w:t>
      </w:r>
    </w:p>
    <w:p w14:paraId="6FB7D319">
      <w:pPr>
        <w:spacing w:line="560" w:lineRule="exact"/>
        <w:ind w:firstLine="643" w:firstLineChars="200"/>
        <w:rPr>
          <w:rFonts w:hint="eastAsia" w:ascii="仿宋_GB2312" w:hAnsi="Calibri" w:eastAsia="仿宋_GB2312" w:cs="Times New Roman"/>
          <w:b/>
          <w:sz w:val="32"/>
          <w:szCs w:val="32"/>
        </w:rPr>
      </w:pPr>
      <w:r>
        <w:rPr>
          <w:rFonts w:hint="eastAsia" w:ascii="仿宋_GB2312" w:hAnsi="Calibri" w:eastAsia="仿宋_GB2312" w:cs="Times New Roman"/>
          <w:b/>
          <w:sz w:val="32"/>
          <w:szCs w:val="32"/>
          <w:lang w:val="en-US" w:eastAsia="zh-CN"/>
        </w:rPr>
        <w:t>2．</w:t>
      </w:r>
      <w:r>
        <w:rPr>
          <w:rFonts w:hint="eastAsia" w:ascii="仿宋_GB2312" w:hAnsi="Calibri" w:eastAsia="仿宋_GB2312" w:cs="Times New Roman"/>
          <w:b/>
          <w:sz w:val="32"/>
          <w:szCs w:val="32"/>
        </w:rPr>
        <w:t>资金使用计划</w:t>
      </w:r>
    </w:p>
    <w:p w14:paraId="29F5FAA5">
      <w:pPr>
        <w:pageBreakBefore w:val="0"/>
        <w:kinsoku/>
        <w:wordWrap/>
        <w:overflowPunct/>
        <w:topLinePunct w:val="0"/>
        <w:autoSpaceDE/>
        <w:autoSpaceDN/>
        <w:bidi w:val="0"/>
        <w:adjustRightInd/>
        <w:snapToGrid/>
        <w:spacing w:line="360" w:lineRule="auto"/>
        <w:ind w:firstLine="640" w:firstLineChars="200"/>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项目所筹资金将根据项目实施计划和实施建设进度来进行合理分配，且将全部投资于本项目，具体数额应当根据进度支出。在保证项目工程投资资金充足的情况下，充分利用且不浪费当年度专项债券融资额度。按照建设进度，总投资计划分2个年度投入，具体的资金使用、筹措计划见下表3-3：</w:t>
      </w:r>
    </w:p>
    <w:p w14:paraId="56E2ACDA">
      <w:pPr>
        <w:pageBreakBefore w:val="0"/>
        <w:kinsoku/>
        <w:wordWrap/>
        <w:overflowPunct/>
        <w:topLinePunct w:val="0"/>
        <w:autoSpaceDE/>
        <w:autoSpaceDN/>
        <w:bidi w:val="0"/>
        <w:adjustRightInd/>
        <w:snapToGrid/>
        <w:spacing w:line="360" w:lineRule="auto"/>
        <w:ind w:firstLine="640" w:firstLineChars="200"/>
        <w:jc w:val="center"/>
        <w:textAlignment w:val="auto"/>
        <w:rPr>
          <w:rFonts w:hint="default" w:ascii="仿宋_GB2312" w:hAnsi="仿宋_GB2312" w:eastAsia="仿宋_GB2312" w:cs="仿宋_GB2312"/>
          <w:b w:val="0"/>
          <w:bCs w:val="0"/>
          <w:sz w:val="32"/>
          <w:szCs w:val="32"/>
          <w:highlight w:val="none"/>
          <w:lang w:val="en-US" w:eastAsia="zh-CN"/>
        </w:rPr>
      </w:pPr>
      <w:r>
        <w:rPr>
          <w:rFonts w:hint="default" w:ascii="仿宋_GB2312" w:hAnsi="仿宋_GB2312" w:eastAsia="仿宋_GB2312" w:cs="仿宋_GB2312"/>
          <w:b w:val="0"/>
          <w:bCs w:val="0"/>
          <w:sz w:val="32"/>
          <w:szCs w:val="32"/>
          <w:highlight w:val="none"/>
          <w:lang w:val="en-US" w:eastAsia="zh-CN"/>
        </w:rPr>
        <w:t>表3-3项目资金使用与筹措表</w:t>
      </w:r>
    </w:p>
    <w:p w14:paraId="12716E23">
      <w:pPr>
        <w:bidi w:val="0"/>
        <w:jc w:val="right"/>
        <w:rPr>
          <w:rFonts w:hint="eastAsia" w:ascii="仿宋_GB2312" w:hAnsi="仿宋_GB2312" w:eastAsia="仿宋_GB2312" w:cs="仿宋_GB2312"/>
          <w:highlight w:val="none"/>
        </w:rPr>
      </w:pPr>
      <w:r>
        <w:rPr>
          <w:rFonts w:hint="eastAsia" w:ascii="仿宋_GB2312" w:hAnsi="仿宋_GB2312" w:eastAsia="仿宋_GB2312" w:cs="仿宋_GB2312"/>
          <w:highlight w:val="none"/>
        </w:rPr>
        <w:t>单位：万元</w:t>
      </w:r>
    </w:p>
    <w:tbl>
      <w:tblPr>
        <w:tblStyle w:val="13"/>
        <w:tblW w:w="4999"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27"/>
        <w:gridCol w:w="3433"/>
        <w:gridCol w:w="1626"/>
        <w:gridCol w:w="1486"/>
        <w:gridCol w:w="1486"/>
      </w:tblGrid>
      <w:tr w14:paraId="4EED62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567"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8ED2B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ascii="仿宋" w:hAnsi="仿宋" w:eastAsia="仿宋" w:cs="仿宋"/>
                <w:b/>
                <w:bCs/>
                <w:i w:val="0"/>
                <w:iCs w:val="0"/>
                <w:color w:val="000000"/>
                <w:sz w:val="22"/>
                <w:szCs w:val="22"/>
                <w:u w:val="none"/>
              </w:rPr>
            </w:pPr>
            <w:r>
              <w:rPr>
                <w:rFonts w:hint="eastAsia" w:ascii="仿宋" w:hAnsi="仿宋" w:eastAsia="仿宋" w:cs="仿宋"/>
                <w:b/>
                <w:bCs/>
                <w:i w:val="0"/>
                <w:iCs w:val="0"/>
                <w:color w:val="000000"/>
                <w:kern w:val="0"/>
                <w:sz w:val="22"/>
                <w:szCs w:val="22"/>
                <w:u w:val="none"/>
                <w:lang w:val="en-US" w:eastAsia="zh-CN" w:bidi="ar"/>
              </w:rPr>
              <w:t>序号</w:t>
            </w:r>
          </w:p>
        </w:tc>
        <w:tc>
          <w:tcPr>
            <w:tcW w:w="189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075FF5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2"/>
                <w:szCs w:val="22"/>
                <w:u w:val="none"/>
              </w:rPr>
            </w:pPr>
            <w:r>
              <w:rPr>
                <w:rFonts w:hint="eastAsia" w:ascii="仿宋" w:hAnsi="仿宋" w:eastAsia="仿宋" w:cs="仿宋"/>
                <w:b/>
                <w:bCs/>
                <w:i w:val="0"/>
                <w:iCs w:val="0"/>
                <w:color w:val="000000"/>
                <w:kern w:val="0"/>
                <w:sz w:val="22"/>
                <w:szCs w:val="22"/>
                <w:u w:val="none"/>
                <w:lang w:val="en-US" w:eastAsia="zh-CN" w:bidi="ar"/>
              </w:rPr>
              <w:t>项  目</w:t>
            </w:r>
          </w:p>
        </w:tc>
        <w:tc>
          <w:tcPr>
            <w:tcW w:w="897" w:type="pct"/>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B05E8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2"/>
                <w:szCs w:val="22"/>
                <w:u w:val="none"/>
              </w:rPr>
            </w:pPr>
            <w:r>
              <w:rPr>
                <w:rFonts w:hint="eastAsia" w:ascii="仿宋" w:hAnsi="仿宋" w:eastAsia="仿宋" w:cs="仿宋"/>
                <w:b/>
                <w:bCs/>
                <w:i w:val="0"/>
                <w:iCs w:val="0"/>
                <w:color w:val="000000"/>
                <w:kern w:val="0"/>
                <w:sz w:val="22"/>
                <w:szCs w:val="22"/>
                <w:u w:val="none"/>
                <w:lang w:val="en-US" w:eastAsia="zh-CN" w:bidi="ar"/>
              </w:rPr>
              <w:t>合计</w:t>
            </w:r>
          </w:p>
        </w:tc>
        <w:tc>
          <w:tcPr>
            <w:tcW w:w="1640" w:type="pct"/>
            <w:gridSpan w:val="2"/>
            <w:tcBorders>
              <w:top w:val="single" w:color="000000" w:sz="4" w:space="0"/>
              <w:left w:val="single" w:color="000000" w:sz="4" w:space="0"/>
              <w:bottom w:val="single" w:color="000000" w:sz="4" w:space="0"/>
              <w:right w:val="nil"/>
            </w:tcBorders>
            <w:shd w:val="clear" w:color="auto" w:fill="auto"/>
            <w:vAlign w:val="center"/>
          </w:tcPr>
          <w:p w14:paraId="7B03485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建设期</w:t>
            </w:r>
          </w:p>
        </w:tc>
      </w:tr>
      <w:tr w14:paraId="4CEC0D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567"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B9BA6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000000"/>
                <w:sz w:val="22"/>
                <w:szCs w:val="22"/>
                <w:u w:val="none"/>
              </w:rPr>
            </w:pPr>
          </w:p>
        </w:tc>
        <w:tc>
          <w:tcPr>
            <w:tcW w:w="189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ADE76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000000"/>
                <w:sz w:val="22"/>
                <w:szCs w:val="22"/>
                <w:u w:val="none"/>
              </w:rPr>
            </w:pPr>
          </w:p>
        </w:tc>
        <w:tc>
          <w:tcPr>
            <w:tcW w:w="897" w:type="pct"/>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359E2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仿宋" w:hAnsi="仿宋" w:eastAsia="仿宋" w:cs="仿宋"/>
                <w:b/>
                <w:bCs/>
                <w:i w:val="0"/>
                <w:iCs w:val="0"/>
                <w:color w:val="000000"/>
                <w:sz w:val="22"/>
                <w:szCs w:val="22"/>
                <w:u w:val="none"/>
              </w:rPr>
            </w:pPr>
          </w:p>
        </w:tc>
        <w:tc>
          <w:tcPr>
            <w:tcW w:w="8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5673C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第一年</w:t>
            </w:r>
          </w:p>
        </w:tc>
        <w:tc>
          <w:tcPr>
            <w:tcW w:w="8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DFE2C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第二年</w:t>
            </w:r>
          </w:p>
        </w:tc>
      </w:tr>
      <w:tr w14:paraId="587A24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1EA59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2"/>
                <w:szCs w:val="22"/>
                <w:u w:val="none"/>
              </w:rPr>
            </w:pPr>
            <w:r>
              <w:rPr>
                <w:rFonts w:hint="eastAsia" w:ascii="仿宋" w:hAnsi="仿宋" w:eastAsia="仿宋" w:cs="仿宋"/>
                <w:b/>
                <w:bCs/>
                <w:i w:val="0"/>
                <w:iCs w:val="0"/>
                <w:color w:val="000000"/>
                <w:kern w:val="0"/>
                <w:sz w:val="22"/>
                <w:szCs w:val="22"/>
                <w:u w:val="none"/>
                <w:lang w:val="en-US" w:eastAsia="zh-CN" w:bidi="ar"/>
              </w:rPr>
              <w:t>一</w:t>
            </w:r>
          </w:p>
        </w:tc>
        <w:tc>
          <w:tcPr>
            <w:tcW w:w="18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28668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2"/>
                <w:szCs w:val="22"/>
                <w:u w:val="none"/>
              </w:rPr>
            </w:pPr>
            <w:r>
              <w:rPr>
                <w:rFonts w:hint="eastAsia" w:ascii="仿宋" w:hAnsi="仿宋" w:eastAsia="仿宋" w:cs="仿宋"/>
                <w:b/>
                <w:bCs/>
                <w:i w:val="0"/>
                <w:iCs w:val="0"/>
                <w:color w:val="000000"/>
                <w:kern w:val="0"/>
                <w:sz w:val="22"/>
                <w:szCs w:val="22"/>
                <w:u w:val="none"/>
                <w:lang w:val="en-US" w:eastAsia="zh-CN" w:bidi="ar"/>
              </w:rPr>
              <w:t>资金使用</w:t>
            </w:r>
          </w:p>
        </w:tc>
        <w:tc>
          <w:tcPr>
            <w:tcW w:w="89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D4DC7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b/>
                <w:bCs/>
                <w:i w:val="0"/>
                <w:iCs w:val="0"/>
                <w:color w:val="000000"/>
                <w:sz w:val="22"/>
                <w:szCs w:val="22"/>
                <w:u w:val="none"/>
              </w:rPr>
            </w:pPr>
            <w:r>
              <w:rPr>
                <w:rFonts w:hint="default" w:ascii="Times New Roman" w:hAnsi="Times New Roman" w:eastAsia="等线" w:cs="Times New Roman"/>
                <w:b/>
                <w:bCs/>
                <w:i w:val="0"/>
                <w:iCs w:val="0"/>
                <w:color w:val="000000"/>
                <w:kern w:val="0"/>
                <w:sz w:val="22"/>
                <w:szCs w:val="22"/>
                <w:u w:val="none"/>
                <w:lang w:val="en-US" w:eastAsia="zh-CN" w:bidi="ar"/>
              </w:rPr>
              <w:t xml:space="preserve">10700.00 </w:t>
            </w:r>
          </w:p>
        </w:tc>
        <w:tc>
          <w:tcPr>
            <w:tcW w:w="8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A6713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i w:val="0"/>
                <w:iCs w:val="0"/>
                <w:color w:val="000000"/>
                <w:sz w:val="21"/>
                <w:szCs w:val="21"/>
                <w:u w:val="none"/>
              </w:rPr>
            </w:pPr>
            <w:r>
              <w:rPr>
                <w:rFonts w:hint="default" w:ascii="Times New Roman" w:hAnsi="Times New Roman" w:eastAsia="等线" w:cs="Times New Roman"/>
                <w:i w:val="0"/>
                <w:iCs w:val="0"/>
                <w:color w:val="000000"/>
                <w:kern w:val="0"/>
                <w:sz w:val="21"/>
                <w:szCs w:val="21"/>
                <w:u w:val="none"/>
                <w:lang w:val="en-US" w:eastAsia="zh-CN" w:bidi="ar"/>
              </w:rPr>
              <w:t>4,200.00</w:t>
            </w:r>
          </w:p>
        </w:tc>
        <w:tc>
          <w:tcPr>
            <w:tcW w:w="8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D8094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i w:val="0"/>
                <w:iCs w:val="0"/>
                <w:color w:val="000000"/>
                <w:sz w:val="21"/>
                <w:szCs w:val="21"/>
                <w:u w:val="none"/>
              </w:rPr>
            </w:pPr>
            <w:r>
              <w:rPr>
                <w:rFonts w:hint="default" w:ascii="Times New Roman" w:hAnsi="Times New Roman" w:eastAsia="等线" w:cs="Times New Roman"/>
                <w:i w:val="0"/>
                <w:iCs w:val="0"/>
                <w:color w:val="000000"/>
                <w:kern w:val="0"/>
                <w:sz w:val="21"/>
                <w:szCs w:val="21"/>
                <w:u w:val="none"/>
                <w:lang w:val="en-US" w:eastAsia="zh-CN" w:bidi="ar"/>
              </w:rPr>
              <w:t>6,500.00</w:t>
            </w:r>
          </w:p>
        </w:tc>
      </w:tr>
      <w:tr w14:paraId="58BECB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C7107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1</w:t>
            </w:r>
          </w:p>
        </w:tc>
        <w:tc>
          <w:tcPr>
            <w:tcW w:w="18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CB548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建设投资</w:t>
            </w:r>
          </w:p>
        </w:tc>
        <w:tc>
          <w:tcPr>
            <w:tcW w:w="89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247F0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b/>
                <w:bCs/>
                <w:i w:val="0"/>
                <w:iCs w:val="0"/>
                <w:color w:val="000000"/>
                <w:sz w:val="22"/>
                <w:szCs w:val="22"/>
                <w:u w:val="none"/>
              </w:rPr>
            </w:pPr>
            <w:r>
              <w:rPr>
                <w:rFonts w:hint="default" w:ascii="Times New Roman" w:hAnsi="Times New Roman" w:eastAsia="等线" w:cs="Times New Roman"/>
                <w:b/>
                <w:bCs/>
                <w:i w:val="0"/>
                <w:iCs w:val="0"/>
                <w:color w:val="000000"/>
                <w:kern w:val="0"/>
                <w:sz w:val="22"/>
                <w:szCs w:val="22"/>
                <w:u w:val="none"/>
                <w:lang w:val="en-US" w:eastAsia="zh-CN" w:bidi="ar"/>
              </w:rPr>
              <w:t xml:space="preserve">10404.00 </w:t>
            </w:r>
          </w:p>
        </w:tc>
        <w:tc>
          <w:tcPr>
            <w:tcW w:w="8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3B892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i w:val="0"/>
                <w:iCs w:val="0"/>
                <w:color w:val="000000"/>
                <w:sz w:val="21"/>
                <w:szCs w:val="21"/>
                <w:u w:val="none"/>
              </w:rPr>
            </w:pPr>
            <w:r>
              <w:rPr>
                <w:rFonts w:hint="default" w:ascii="Times New Roman" w:hAnsi="Times New Roman" w:eastAsia="等线" w:cs="Times New Roman"/>
                <w:i w:val="0"/>
                <w:iCs w:val="0"/>
                <w:color w:val="000000"/>
                <w:kern w:val="0"/>
                <w:sz w:val="21"/>
                <w:szCs w:val="21"/>
                <w:u w:val="none"/>
                <w:lang w:val="en-US" w:eastAsia="zh-CN" w:bidi="ar"/>
              </w:rPr>
              <w:t>4,122.00</w:t>
            </w:r>
          </w:p>
        </w:tc>
        <w:tc>
          <w:tcPr>
            <w:tcW w:w="8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6F76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i w:val="0"/>
                <w:iCs w:val="0"/>
                <w:color w:val="000000"/>
                <w:sz w:val="21"/>
                <w:szCs w:val="21"/>
                <w:u w:val="none"/>
              </w:rPr>
            </w:pPr>
            <w:r>
              <w:rPr>
                <w:rFonts w:hint="default" w:ascii="Times New Roman" w:hAnsi="Times New Roman" w:eastAsia="等线" w:cs="Times New Roman"/>
                <w:i w:val="0"/>
                <w:iCs w:val="0"/>
                <w:color w:val="000000"/>
                <w:kern w:val="0"/>
                <w:sz w:val="21"/>
                <w:szCs w:val="21"/>
                <w:u w:val="none"/>
                <w:lang w:val="en-US" w:eastAsia="zh-CN" w:bidi="ar"/>
              </w:rPr>
              <w:t>6,282.00</w:t>
            </w:r>
          </w:p>
        </w:tc>
      </w:tr>
      <w:tr w14:paraId="5CB5D4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0" w:hRule="atLeast"/>
        </w:trPr>
        <w:tc>
          <w:tcPr>
            <w:tcW w:w="5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9A782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2</w:t>
            </w:r>
          </w:p>
        </w:tc>
        <w:tc>
          <w:tcPr>
            <w:tcW w:w="18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AD37C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建设期专项债券利息</w:t>
            </w:r>
          </w:p>
        </w:tc>
        <w:tc>
          <w:tcPr>
            <w:tcW w:w="89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84828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b/>
                <w:bCs/>
                <w:i w:val="0"/>
                <w:iCs w:val="0"/>
                <w:color w:val="000000"/>
                <w:sz w:val="22"/>
                <w:szCs w:val="22"/>
                <w:u w:val="none"/>
              </w:rPr>
            </w:pPr>
            <w:r>
              <w:rPr>
                <w:rFonts w:hint="default" w:ascii="Times New Roman" w:hAnsi="Times New Roman" w:eastAsia="等线" w:cs="Times New Roman"/>
                <w:b/>
                <w:bCs/>
                <w:i w:val="0"/>
                <w:iCs w:val="0"/>
                <w:color w:val="000000"/>
                <w:kern w:val="0"/>
                <w:sz w:val="22"/>
                <w:szCs w:val="22"/>
                <w:u w:val="none"/>
                <w:lang w:val="en-US" w:eastAsia="zh-CN" w:bidi="ar"/>
              </w:rPr>
              <w:t xml:space="preserve">287.50 </w:t>
            </w:r>
          </w:p>
        </w:tc>
        <w:tc>
          <w:tcPr>
            <w:tcW w:w="8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0CC2D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i w:val="0"/>
                <w:iCs w:val="0"/>
                <w:color w:val="000000"/>
                <w:sz w:val="21"/>
                <w:szCs w:val="21"/>
                <w:u w:val="none"/>
              </w:rPr>
            </w:pPr>
            <w:r>
              <w:rPr>
                <w:rFonts w:hint="default" w:ascii="Times New Roman" w:hAnsi="Times New Roman" w:eastAsia="等线" w:cs="Times New Roman"/>
                <w:i w:val="0"/>
                <w:iCs w:val="0"/>
                <w:color w:val="000000"/>
                <w:kern w:val="0"/>
                <w:sz w:val="21"/>
                <w:szCs w:val="21"/>
                <w:u w:val="none"/>
                <w:lang w:val="en-US" w:eastAsia="zh-CN" w:bidi="ar"/>
              </w:rPr>
              <w:t xml:space="preserve">75.00 </w:t>
            </w:r>
          </w:p>
        </w:tc>
        <w:tc>
          <w:tcPr>
            <w:tcW w:w="8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24F0F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i w:val="0"/>
                <w:iCs w:val="0"/>
                <w:color w:val="000000"/>
                <w:sz w:val="21"/>
                <w:szCs w:val="21"/>
                <w:u w:val="none"/>
              </w:rPr>
            </w:pPr>
            <w:r>
              <w:rPr>
                <w:rFonts w:hint="default" w:ascii="Times New Roman" w:hAnsi="Times New Roman" w:eastAsia="等线" w:cs="Times New Roman"/>
                <w:i w:val="0"/>
                <w:iCs w:val="0"/>
                <w:color w:val="000000"/>
                <w:kern w:val="0"/>
                <w:sz w:val="21"/>
                <w:szCs w:val="21"/>
                <w:u w:val="none"/>
                <w:lang w:val="en-US" w:eastAsia="zh-CN" w:bidi="ar"/>
              </w:rPr>
              <w:t xml:space="preserve">212.50 </w:t>
            </w:r>
          </w:p>
        </w:tc>
      </w:tr>
      <w:tr w14:paraId="6BE1BA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C8A8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3</w:t>
            </w:r>
          </w:p>
        </w:tc>
        <w:tc>
          <w:tcPr>
            <w:tcW w:w="18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059D3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债券发行费用</w:t>
            </w:r>
          </w:p>
        </w:tc>
        <w:tc>
          <w:tcPr>
            <w:tcW w:w="89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74501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b/>
                <w:bCs/>
                <w:i w:val="0"/>
                <w:iCs w:val="0"/>
                <w:color w:val="000000"/>
                <w:sz w:val="22"/>
                <w:szCs w:val="22"/>
                <w:u w:val="none"/>
              </w:rPr>
            </w:pPr>
            <w:r>
              <w:rPr>
                <w:rFonts w:hint="default" w:ascii="Times New Roman" w:hAnsi="Times New Roman" w:eastAsia="等线" w:cs="Times New Roman"/>
                <w:b/>
                <w:bCs/>
                <w:i w:val="0"/>
                <w:iCs w:val="0"/>
                <w:color w:val="000000"/>
                <w:kern w:val="0"/>
                <w:sz w:val="22"/>
                <w:szCs w:val="22"/>
                <w:u w:val="none"/>
                <w:lang w:val="en-US" w:eastAsia="zh-CN" w:bidi="ar"/>
              </w:rPr>
              <w:t xml:space="preserve">8.50 </w:t>
            </w:r>
          </w:p>
        </w:tc>
        <w:tc>
          <w:tcPr>
            <w:tcW w:w="8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A9B57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i w:val="0"/>
                <w:iCs w:val="0"/>
                <w:color w:val="000000"/>
                <w:sz w:val="21"/>
                <w:szCs w:val="21"/>
                <w:u w:val="none"/>
              </w:rPr>
            </w:pPr>
            <w:r>
              <w:rPr>
                <w:rFonts w:hint="default" w:ascii="Times New Roman" w:hAnsi="Times New Roman" w:eastAsia="等线" w:cs="Times New Roman"/>
                <w:i w:val="0"/>
                <w:iCs w:val="0"/>
                <w:color w:val="000000"/>
                <w:kern w:val="0"/>
                <w:sz w:val="21"/>
                <w:szCs w:val="21"/>
                <w:u w:val="none"/>
                <w:lang w:val="en-US" w:eastAsia="zh-CN" w:bidi="ar"/>
              </w:rPr>
              <w:t xml:space="preserve">3.00 </w:t>
            </w:r>
          </w:p>
        </w:tc>
        <w:tc>
          <w:tcPr>
            <w:tcW w:w="8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C4B28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i w:val="0"/>
                <w:iCs w:val="0"/>
                <w:color w:val="000000"/>
                <w:sz w:val="21"/>
                <w:szCs w:val="21"/>
                <w:u w:val="none"/>
              </w:rPr>
            </w:pPr>
            <w:r>
              <w:rPr>
                <w:rFonts w:hint="default" w:ascii="Times New Roman" w:hAnsi="Times New Roman" w:eastAsia="等线" w:cs="Times New Roman"/>
                <w:i w:val="0"/>
                <w:iCs w:val="0"/>
                <w:color w:val="000000"/>
                <w:kern w:val="0"/>
                <w:sz w:val="21"/>
                <w:szCs w:val="21"/>
                <w:u w:val="none"/>
                <w:lang w:val="en-US" w:eastAsia="zh-CN" w:bidi="ar"/>
              </w:rPr>
              <w:t xml:space="preserve">5.50 </w:t>
            </w:r>
          </w:p>
        </w:tc>
      </w:tr>
      <w:tr w14:paraId="61E6A9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96C75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2"/>
                <w:szCs w:val="22"/>
                <w:u w:val="none"/>
              </w:rPr>
            </w:pPr>
            <w:r>
              <w:rPr>
                <w:rFonts w:hint="eastAsia" w:ascii="仿宋" w:hAnsi="仿宋" w:eastAsia="仿宋" w:cs="仿宋"/>
                <w:b/>
                <w:bCs/>
                <w:i w:val="0"/>
                <w:iCs w:val="0"/>
                <w:color w:val="000000"/>
                <w:kern w:val="0"/>
                <w:sz w:val="22"/>
                <w:szCs w:val="22"/>
                <w:u w:val="none"/>
                <w:lang w:val="en-US" w:eastAsia="zh-CN" w:bidi="ar"/>
              </w:rPr>
              <w:t>二</w:t>
            </w:r>
          </w:p>
        </w:tc>
        <w:tc>
          <w:tcPr>
            <w:tcW w:w="18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7A1A3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b/>
                <w:bCs/>
                <w:i w:val="0"/>
                <w:iCs w:val="0"/>
                <w:color w:val="000000"/>
                <w:sz w:val="22"/>
                <w:szCs w:val="22"/>
                <w:u w:val="none"/>
              </w:rPr>
            </w:pPr>
            <w:r>
              <w:rPr>
                <w:rFonts w:hint="eastAsia" w:ascii="仿宋" w:hAnsi="仿宋" w:eastAsia="仿宋" w:cs="仿宋"/>
                <w:b/>
                <w:bCs/>
                <w:i w:val="0"/>
                <w:iCs w:val="0"/>
                <w:color w:val="000000"/>
                <w:kern w:val="0"/>
                <w:sz w:val="22"/>
                <w:szCs w:val="22"/>
                <w:u w:val="none"/>
                <w:lang w:val="en-US" w:eastAsia="zh-CN" w:bidi="ar"/>
              </w:rPr>
              <w:t>资金筹措</w:t>
            </w:r>
          </w:p>
        </w:tc>
        <w:tc>
          <w:tcPr>
            <w:tcW w:w="89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C84AA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b/>
                <w:bCs/>
                <w:i w:val="0"/>
                <w:iCs w:val="0"/>
                <w:color w:val="000000"/>
                <w:sz w:val="22"/>
                <w:szCs w:val="22"/>
                <w:u w:val="none"/>
              </w:rPr>
            </w:pPr>
            <w:r>
              <w:rPr>
                <w:rFonts w:hint="default" w:ascii="Times New Roman" w:hAnsi="Times New Roman" w:eastAsia="等线" w:cs="Times New Roman"/>
                <w:b/>
                <w:bCs/>
                <w:i w:val="0"/>
                <w:iCs w:val="0"/>
                <w:color w:val="000000"/>
                <w:kern w:val="0"/>
                <w:sz w:val="22"/>
                <w:szCs w:val="22"/>
                <w:u w:val="none"/>
                <w:lang w:val="en-US" w:eastAsia="zh-CN" w:bidi="ar"/>
              </w:rPr>
              <w:t xml:space="preserve">10700.00 </w:t>
            </w:r>
          </w:p>
        </w:tc>
        <w:tc>
          <w:tcPr>
            <w:tcW w:w="8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8AF0C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i w:val="0"/>
                <w:iCs w:val="0"/>
                <w:color w:val="000000"/>
                <w:sz w:val="21"/>
                <w:szCs w:val="21"/>
                <w:u w:val="none"/>
              </w:rPr>
            </w:pPr>
            <w:r>
              <w:rPr>
                <w:rFonts w:hint="default" w:ascii="Times New Roman" w:hAnsi="Times New Roman" w:eastAsia="等线" w:cs="Times New Roman"/>
                <w:i w:val="0"/>
                <w:iCs w:val="0"/>
                <w:color w:val="000000"/>
                <w:kern w:val="0"/>
                <w:sz w:val="21"/>
                <w:szCs w:val="21"/>
                <w:u w:val="none"/>
                <w:lang w:val="en-US" w:eastAsia="zh-CN" w:bidi="ar"/>
              </w:rPr>
              <w:t>4,200.00</w:t>
            </w:r>
          </w:p>
        </w:tc>
        <w:tc>
          <w:tcPr>
            <w:tcW w:w="8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73339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i w:val="0"/>
                <w:iCs w:val="0"/>
                <w:color w:val="000000"/>
                <w:sz w:val="21"/>
                <w:szCs w:val="21"/>
                <w:u w:val="none"/>
              </w:rPr>
            </w:pPr>
            <w:r>
              <w:rPr>
                <w:rFonts w:hint="default" w:ascii="Times New Roman" w:hAnsi="Times New Roman" w:eastAsia="等线" w:cs="Times New Roman"/>
                <w:i w:val="0"/>
                <w:iCs w:val="0"/>
                <w:color w:val="000000"/>
                <w:kern w:val="0"/>
                <w:sz w:val="21"/>
                <w:szCs w:val="21"/>
                <w:u w:val="none"/>
                <w:lang w:val="en-US" w:eastAsia="zh-CN" w:bidi="ar"/>
              </w:rPr>
              <w:t>6,500.00</w:t>
            </w:r>
          </w:p>
        </w:tc>
      </w:tr>
      <w:tr w14:paraId="084045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F795A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1</w:t>
            </w:r>
          </w:p>
        </w:tc>
        <w:tc>
          <w:tcPr>
            <w:tcW w:w="18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14356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项目资本金</w:t>
            </w:r>
          </w:p>
        </w:tc>
        <w:tc>
          <w:tcPr>
            <w:tcW w:w="89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DFFFF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b/>
                <w:bCs/>
                <w:i w:val="0"/>
                <w:iCs w:val="0"/>
                <w:color w:val="000000"/>
                <w:sz w:val="22"/>
                <w:szCs w:val="22"/>
                <w:u w:val="none"/>
              </w:rPr>
            </w:pPr>
            <w:r>
              <w:rPr>
                <w:rFonts w:hint="default" w:ascii="Times New Roman" w:hAnsi="Times New Roman" w:eastAsia="等线" w:cs="Times New Roman"/>
                <w:b/>
                <w:bCs/>
                <w:i w:val="0"/>
                <w:iCs w:val="0"/>
                <w:color w:val="000000"/>
                <w:kern w:val="0"/>
                <w:sz w:val="22"/>
                <w:szCs w:val="22"/>
                <w:u w:val="none"/>
                <w:lang w:val="en-US" w:eastAsia="zh-CN" w:bidi="ar"/>
              </w:rPr>
              <w:t xml:space="preserve">2200.00 </w:t>
            </w:r>
          </w:p>
        </w:tc>
        <w:tc>
          <w:tcPr>
            <w:tcW w:w="8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60E98A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i w:val="0"/>
                <w:iCs w:val="0"/>
                <w:color w:val="000000"/>
                <w:sz w:val="21"/>
                <w:szCs w:val="21"/>
                <w:u w:val="none"/>
              </w:rPr>
            </w:pPr>
            <w:r>
              <w:rPr>
                <w:rFonts w:hint="default" w:ascii="Times New Roman" w:hAnsi="Times New Roman" w:eastAsia="等线" w:cs="Times New Roman"/>
                <w:i w:val="0"/>
                <w:iCs w:val="0"/>
                <w:color w:val="000000"/>
                <w:kern w:val="0"/>
                <w:sz w:val="21"/>
                <w:szCs w:val="21"/>
                <w:u w:val="none"/>
                <w:lang w:val="en-US" w:eastAsia="zh-CN" w:bidi="ar"/>
              </w:rPr>
              <w:t>1,200.00</w:t>
            </w:r>
          </w:p>
        </w:tc>
        <w:tc>
          <w:tcPr>
            <w:tcW w:w="820"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6C470F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i w:val="0"/>
                <w:iCs w:val="0"/>
                <w:color w:val="000000"/>
                <w:sz w:val="21"/>
                <w:szCs w:val="21"/>
                <w:u w:val="none"/>
              </w:rPr>
            </w:pPr>
            <w:r>
              <w:rPr>
                <w:rFonts w:hint="default" w:ascii="Times New Roman" w:hAnsi="Times New Roman" w:eastAsia="等线" w:cs="Times New Roman"/>
                <w:i w:val="0"/>
                <w:iCs w:val="0"/>
                <w:color w:val="000000"/>
                <w:kern w:val="0"/>
                <w:sz w:val="21"/>
                <w:szCs w:val="21"/>
                <w:u w:val="none"/>
                <w:lang w:val="en-US" w:eastAsia="zh-CN" w:bidi="ar"/>
              </w:rPr>
              <w:t>1,000.00</w:t>
            </w:r>
          </w:p>
        </w:tc>
      </w:tr>
      <w:tr w14:paraId="2BE71D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6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CF223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2</w:t>
            </w:r>
          </w:p>
        </w:tc>
        <w:tc>
          <w:tcPr>
            <w:tcW w:w="18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D6759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专项债券</w:t>
            </w:r>
          </w:p>
        </w:tc>
        <w:tc>
          <w:tcPr>
            <w:tcW w:w="89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A9307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b/>
                <w:bCs/>
                <w:i w:val="0"/>
                <w:iCs w:val="0"/>
                <w:color w:val="000000"/>
                <w:sz w:val="22"/>
                <w:szCs w:val="22"/>
                <w:u w:val="none"/>
              </w:rPr>
            </w:pPr>
            <w:r>
              <w:rPr>
                <w:rFonts w:hint="default" w:ascii="Times New Roman" w:hAnsi="Times New Roman" w:eastAsia="等线" w:cs="Times New Roman"/>
                <w:b/>
                <w:bCs/>
                <w:i w:val="0"/>
                <w:iCs w:val="0"/>
                <w:color w:val="000000"/>
                <w:kern w:val="0"/>
                <w:sz w:val="22"/>
                <w:szCs w:val="22"/>
                <w:u w:val="none"/>
                <w:lang w:val="en-US" w:eastAsia="zh-CN" w:bidi="ar"/>
              </w:rPr>
              <w:t xml:space="preserve">8500.00 </w:t>
            </w:r>
          </w:p>
        </w:tc>
        <w:tc>
          <w:tcPr>
            <w:tcW w:w="82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90C13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i w:val="0"/>
                <w:iCs w:val="0"/>
                <w:color w:val="000000"/>
                <w:sz w:val="21"/>
                <w:szCs w:val="21"/>
                <w:u w:val="none"/>
              </w:rPr>
            </w:pPr>
            <w:r>
              <w:rPr>
                <w:rFonts w:hint="default" w:ascii="Times New Roman" w:hAnsi="Times New Roman" w:eastAsia="等线" w:cs="Times New Roman"/>
                <w:i w:val="0"/>
                <w:iCs w:val="0"/>
                <w:color w:val="000000"/>
                <w:kern w:val="0"/>
                <w:sz w:val="21"/>
                <w:szCs w:val="21"/>
                <w:u w:val="none"/>
                <w:lang w:val="en-US" w:eastAsia="zh-CN" w:bidi="ar"/>
              </w:rPr>
              <w:t>3,000.00</w:t>
            </w:r>
          </w:p>
        </w:tc>
        <w:tc>
          <w:tcPr>
            <w:tcW w:w="82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CEB19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default" w:ascii="Times New Roman" w:hAnsi="Times New Roman" w:eastAsia="等线" w:cs="Times New Roman"/>
                <w:i w:val="0"/>
                <w:iCs w:val="0"/>
                <w:color w:val="000000"/>
                <w:sz w:val="21"/>
                <w:szCs w:val="21"/>
                <w:u w:val="none"/>
              </w:rPr>
            </w:pPr>
            <w:r>
              <w:rPr>
                <w:rFonts w:hint="default" w:ascii="Times New Roman" w:hAnsi="Times New Roman" w:eastAsia="等线" w:cs="Times New Roman"/>
                <w:i w:val="0"/>
                <w:iCs w:val="0"/>
                <w:color w:val="000000"/>
                <w:kern w:val="0"/>
                <w:sz w:val="21"/>
                <w:szCs w:val="21"/>
                <w:u w:val="none"/>
                <w:lang w:val="en-US" w:eastAsia="zh-CN" w:bidi="ar"/>
              </w:rPr>
              <w:t>5,500.00</w:t>
            </w:r>
          </w:p>
        </w:tc>
      </w:tr>
    </w:tbl>
    <w:p w14:paraId="28F973D3">
      <w:pPr>
        <w:bidi w:val="0"/>
        <w:jc w:val="right"/>
        <w:rPr>
          <w:rFonts w:hint="eastAsia" w:ascii="仿宋_GB2312" w:hAnsi="仿宋_GB2312" w:eastAsia="仿宋_GB2312" w:cs="仿宋_GB2312"/>
          <w:highlight w:val="none"/>
        </w:rPr>
      </w:pPr>
    </w:p>
    <w:p w14:paraId="7D05E1B3">
      <w:pPr>
        <w:spacing w:line="560" w:lineRule="exact"/>
        <w:ind w:firstLine="640" w:firstLineChars="200"/>
        <w:rPr>
          <w:rFonts w:ascii="黑体" w:hAnsi="黑体" w:eastAsia="黑体"/>
          <w:sz w:val="32"/>
          <w:szCs w:val="32"/>
        </w:rPr>
      </w:pPr>
      <w:r>
        <w:rPr>
          <w:rFonts w:hint="eastAsia" w:ascii="黑体" w:hAnsi="黑体" w:eastAsia="黑体"/>
          <w:sz w:val="32"/>
          <w:szCs w:val="32"/>
        </w:rPr>
        <w:t>四、项目预期收益、成本及融资平衡情况</w:t>
      </w:r>
    </w:p>
    <w:p w14:paraId="4F7DFAB4">
      <w:pPr>
        <w:spacing w:line="560" w:lineRule="exact"/>
        <w:ind w:firstLine="643" w:firstLineChars="200"/>
        <w:rPr>
          <w:rFonts w:ascii="楷体_GB2312" w:eastAsia="楷体_GB2312"/>
          <w:b/>
          <w:sz w:val="32"/>
          <w:szCs w:val="32"/>
        </w:rPr>
      </w:pPr>
      <w:r>
        <w:rPr>
          <w:rFonts w:hint="eastAsia" w:ascii="楷体_GB2312" w:eastAsia="楷体_GB2312"/>
          <w:b/>
          <w:sz w:val="32"/>
          <w:szCs w:val="32"/>
        </w:rPr>
        <w:t>（一）预期收益</w:t>
      </w:r>
    </w:p>
    <w:p w14:paraId="188E2EBC">
      <w:pPr>
        <w:spacing w:line="560" w:lineRule="exact"/>
        <w:ind w:firstLine="643" w:firstLineChars="200"/>
        <w:rPr>
          <w:rFonts w:hint="eastAsia" w:ascii="仿宋_GB2312" w:eastAsia="仿宋_GB2312"/>
          <w:b/>
          <w:sz w:val="32"/>
          <w:szCs w:val="32"/>
        </w:rPr>
      </w:pPr>
      <w:r>
        <w:rPr>
          <w:rFonts w:hint="eastAsia" w:ascii="仿宋_GB2312" w:eastAsia="仿宋_GB2312"/>
          <w:b/>
          <w:sz w:val="32"/>
          <w:szCs w:val="32"/>
        </w:rPr>
        <w:t>1.项目收入</w:t>
      </w:r>
    </w:p>
    <w:p w14:paraId="192AE515">
      <w:pPr>
        <w:spacing w:line="560" w:lineRule="exact"/>
        <w:ind w:firstLine="643" w:firstLineChars="200"/>
        <w:rPr>
          <w:rFonts w:hint="default" w:ascii="仿宋_GB2312" w:hAnsi="Calibri" w:eastAsia="仿宋_GB2312" w:cs="Times New Roman"/>
          <w:b/>
          <w:sz w:val="32"/>
          <w:szCs w:val="32"/>
          <w:lang w:val="en-US" w:eastAsia="zh-CN"/>
        </w:rPr>
      </w:pPr>
      <w:bookmarkStart w:id="43" w:name="_Toc13384"/>
      <w:bookmarkStart w:id="44" w:name="_Hlk84356978"/>
      <w:r>
        <w:rPr>
          <w:rFonts w:hint="eastAsia" w:ascii="仿宋_GB2312" w:hAnsi="Calibri" w:eastAsia="仿宋_GB2312" w:cs="Times New Roman"/>
          <w:b/>
          <w:sz w:val="32"/>
          <w:szCs w:val="32"/>
          <w:lang w:val="en-US" w:eastAsia="zh-CN"/>
        </w:rPr>
        <w:t>（1）</w:t>
      </w:r>
      <w:r>
        <w:rPr>
          <w:rFonts w:hint="default" w:ascii="仿宋_GB2312" w:hAnsi="Calibri" w:eastAsia="仿宋_GB2312" w:cs="Times New Roman"/>
          <w:b/>
          <w:sz w:val="32"/>
          <w:szCs w:val="32"/>
          <w:lang w:val="en-US" w:eastAsia="zh-CN"/>
        </w:rPr>
        <w:t>项目收入可行性</w:t>
      </w:r>
      <w:bookmarkEnd w:id="43"/>
    </w:p>
    <w:bookmarkEnd w:id="44"/>
    <w:p w14:paraId="4121F577">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根据财政部《关于试点发展项目收益与融资自求平衡的地方政府专项债券品种的通知》（财预〔2017〕89号文），专项债券对应的项目取得的政府性基金或专项收入，应当按照该项目对应的专项债券余额统筹安排资金，专门用于偿还到期债券本息。</w:t>
      </w:r>
    </w:p>
    <w:p w14:paraId="416FE5A0">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本项目收入来源基于项目建设内容及项目建设规划。项目建设内容为：本项目总用地面积511.18亩，建筑面积为 14.02 万平方米，其中包含日光温室 74 座、总面积为107400平方米；连栋温室8座，总面积为32800平方米，主要建设内容包括建筑、结构、给水排水、电气工程，总平工程等。项目运营后可产生种植分成收入和温室大棚出租收入，项目收入具有合理性。</w:t>
      </w:r>
    </w:p>
    <w:p w14:paraId="5E727309">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本项目运营由业主单位委托具有运营资质的国有企业负责运营，项目收入实行专户管理，用于项目还本付息及日常运营支出。</w:t>
      </w:r>
    </w:p>
    <w:p w14:paraId="65C80D07">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本项目收费按照国家有关政策规定和价格政策，参照四川省、甘孜州及周边市场收费标准，并考虑项目区位、市场饱和度等因素，对项目收入的预测依据充分、合法合规，有较强的可行性。</w:t>
      </w:r>
    </w:p>
    <w:p w14:paraId="206D515A">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综上，项目的实施基础良好、增长潜力巨大，为项目运营期的各项收入提供了良好的支撑。</w:t>
      </w:r>
    </w:p>
    <w:p w14:paraId="46C8297E">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本项目收益来源：小番茄种植分成收入、黄瓜种植分成收入和温室大棚出租收入。</w:t>
      </w:r>
    </w:p>
    <w:p w14:paraId="27E0FF45">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收费参考依据：</w:t>
      </w:r>
    </w:p>
    <w:p w14:paraId="30CD8E9E">
      <w:pPr>
        <w:keepNext w:val="0"/>
        <w:keepLines w:val="0"/>
        <w:pageBreakBefore w:val="0"/>
        <w:widowControl w:val="0"/>
        <w:numPr>
          <w:ilvl w:val="0"/>
          <w:numId w:val="4"/>
        </w:numPr>
        <w:kinsoku/>
        <w:wordWrap/>
        <w:overflowPunct/>
        <w:topLinePunct w:val="0"/>
        <w:autoSpaceDE/>
        <w:autoSpaceDN/>
        <w:bidi w:val="0"/>
        <w:adjustRightInd/>
        <w:snapToGrid/>
        <w:spacing w:line="560" w:lineRule="exact"/>
        <w:ind w:left="0" w:leftChars="0" w:firstLine="640" w:firstLineChars="200"/>
        <w:textAlignment w:val="auto"/>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惠农网小番茄出售价格；</w:t>
      </w:r>
    </w:p>
    <w:p w14:paraId="2C880A68">
      <w:pPr>
        <w:keepNext w:val="0"/>
        <w:keepLines w:val="0"/>
        <w:pageBreakBefore w:val="0"/>
        <w:widowControl w:val="0"/>
        <w:numPr>
          <w:ilvl w:val="0"/>
          <w:numId w:val="4"/>
        </w:numPr>
        <w:kinsoku/>
        <w:wordWrap/>
        <w:overflowPunct/>
        <w:topLinePunct w:val="0"/>
        <w:autoSpaceDE/>
        <w:autoSpaceDN/>
        <w:bidi w:val="0"/>
        <w:adjustRightInd/>
        <w:snapToGrid/>
        <w:spacing w:line="560" w:lineRule="exact"/>
        <w:ind w:left="0" w:leftChars="0" w:firstLine="640" w:firstLineChars="200"/>
        <w:textAlignment w:val="auto"/>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惠农网黄瓜出售价格；</w:t>
      </w:r>
    </w:p>
    <w:p w14:paraId="2C634EF5">
      <w:pPr>
        <w:keepNext w:val="0"/>
        <w:keepLines w:val="0"/>
        <w:pageBreakBefore w:val="0"/>
        <w:widowControl w:val="0"/>
        <w:numPr>
          <w:ilvl w:val="0"/>
          <w:numId w:val="4"/>
        </w:numPr>
        <w:kinsoku/>
        <w:wordWrap/>
        <w:overflowPunct/>
        <w:topLinePunct w:val="0"/>
        <w:autoSpaceDE/>
        <w:autoSpaceDN/>
        <w:bidi w:val="0"/>
        <w:adjustRightInd/>
        <w:snapToGrid/>
        <w:spacing w:line="560" w:lineRule="exact"/>
        <w:ind w:left="0" w:leftChars="0" w:firstLine="640" w:firstLineChars="200"/>
        <w:textAlignment w:val="auto"/>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各地区温室大棚出租价格；</w:t>
      </w:r>
    </w:p>
    <w:p w14:paraId="2EAEDF65">
      <w:pPr>
        <w:keepNext w:val="0"/>
        <w:keepLines w:val="0"/>
        <w:pageBreakBefore w:val="0"/>
        <w:widowControl w:val="0"/>
        <w:numPr>
          <w:ilvl w:val="0"/>
          <w:numId w:val="4"/>
        </w:numPr>
        <w:kinsoku/>
        <w:wordWrap/>
        <w:overflowPunct/>
        <w:topLinePunct w:val="0"/>
        <w:autoSpaceDE/>
        <w:autoSpaceDN/>
        <w:bidi w:val="0"/>
        <w:adjustRightInd/>
        <w:snapToGrid/>
        <w:spacing w:line="560" w:lineRule="exact"/>
        <w:ind w:left="0" w:leftChars="0" w:firstLine="640" w:firstLineChars="200"/>
        <w:textAlignment w:val="auto"/>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炉霍县农牧农村和科技局《关于炉霍县现代农业特色产业示范基地建设项目（一期）开展蔬菜种植的说明》</w:t>
      </w:r>
    </w:p>
    <w:p w14:paraId="7E314039">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所以，本项目的收入来源稳定，项目收入是可行的。</w:t>
      </w:r>
    </w:p>
    <w:p w14:paraId="0115BFBA">
      <w:pPr>
        <w:spacing w:line="560" w:lineRule="exact"/>
        <w:ind w:firstLine="643" w:firstLineChars="200"/>
        <w:rPr>
          <w:rFonts w:hint="default" w:ascii="仿宋_GB2312" w:hAnsi="Calibri" w:eastAsia="仿宋_GB2312" w:cs="Times New Roman"/>
          <w:b/>
          <w:bCs w:val="0"/>
          <w:sz w:val="32"/>
          <w:szCs w:val="32"/>
          <w:lang w:val="en-US" w:eastAsia="zh-CN"/>
        </w:rPr>
      </w:pPr>
      <w:r>
        <w:rPr>
          <w:rFonts w:hint="default" w:ascii="仿宋_GB2312" w:hAnsi="Calibri" w:eastAsia="仿宋_GB2312" w:cs="Times New Roman"/>
          <w:b/>
          <w:bCs w:val="0"/>
          <w:sz w:val="32"/>
          <w:szCs w:val="32"/>
          <w:lang w:val="en-US" w:eastAsia="zh-CN"/>
        </w:rPr>
        <w:t>（2）项目收入的分类</w:t>
      </w:r>
    </w:p>
    <w:p w14:paraId="50075EF2">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本项目全部为项目本身产生的专项收入，用于偿还专项债券的专项收入纳入政府性基金预算管理。</w:t>
      </w:r>
    </w:p>
    <w:p w14:paraId="4302BA79">
      <w:pPr>
        <w:spacing w:line="560" w:lineRule="exact"/>
        <w:ind w:firstLine="643" w:firstLineChars="200"/>
        <w:rPr>
          <w:rFonts w:hint="default" w:ascii="仿宋_GB2312" w:hAnsi="Calibri" w:eastAsia="仿宋_GB2312" w:cs="Times New Roman"/>
          <w:b/>
          <w:bCs w:val="0"/>
          <w:sz w:val="32"/>
          <w:szCs w:val="32"/>
          <w:lang w:val="en-US" w:eastAsia="zh-CN"/>
        </w:rPr>
      </w:pPr>
      <w:r>
        <w:rPr>
          <w:rFonts w:hint="default" w:ascii="仿宋_GB2312" w:hAnsi="Calibri" w:eastAsia="仿宋_GB2312" w:cs="Times New Roman"/>
          <w:b/>
          <w:bCs w:val="0"/>
          <w:sz w:val="32"/>
          <w:szCs w:val="32"/>
          <w:lang w:val="en-US" w:eastAsia="zh-CN"/>
        </w:rPr>
        <w:t>（3）项目收入预测</w:t>
      </w:r>
    </w:p>
    <w:p w14:paraId="492486C2">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本项目旨在建立特色农业产业示范园，创新农业产业发展，使当地的特色农产品生产和推广得到保障，同时大幅提升当地农产品收购价，并为各当地农民增收，故本项目收入以小番茄、黄瓜的种植销售分成收入为准，不考虑其他加工产品。根据炉霍县农牧农村和科技局出具的炉霍县农牧农村和科技局《关于炉霍县现代农业特色产业示范基地建设项目（一期）开展蔬菜种植的说明》得知，项目运营期后，农场品销售收益的85%作为炉霍县现代农业特色产业示范基地建设项目（一期）专项债券还本付息的资金来源之一；运营单位负责小番茄种植和黄瓜种植的相关投入及运营，收取示范园区产生收益的8%作为运营收入；农户负责日常种植，剩余收益的7%以分红形式发放给当地农户，用于提升农户收入，改善农户生活水平。</w:t>
      </w:r>
    </w:p>
    <w:p w14:paraId="5C7FD25A">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①小番茄种植收入</w:t>
      </w:r>
    </w:p>
    <w:p w14:paraId="70C45D49">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计算公式：小番茄种植收入=单价（元/kg）×产量（kg/亩·年）×面积（亩）×损耗率×销售率×分成比例</w:t>
      </w:r>
    </w:p>
    <w:p w14:paraId="6251DA42">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单价：根据惠农网小番茄相关出售价格数据，四川地区小番茄交易价格为12元-24元/kg，鉴于项目建设运营后标准化、规模化的生产，小番茄品质更优、量产综合价值更高，且综合考虑产品的交易流通效率，本项目中销售单价按照11元/kg计取。结合人均GDP增长情况，拟定本项目销售价格按3年增长3%。</w:t>
      </w:r>
    </w:p>
    <w:p w14:paraId="54998243">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亩产：参考相关种植数据，小番茄亩产量约为4000-5000kg/亩（如图4-2）。本项目结合当地种植数据并综合考虑项目所在地气象环境条件及本项目现代化种植基地高标准建设的优势，基于谨慎性原则。设定运营期首年，小番茄亩产量达3000kg/亩，运营期第二年考虑各项种植技术条件成熟，年亩产按4000kg/亩考虑，运营期第三年按4500kg/亩考虑。后续年度产量不再增长。</w:t>
      </w:r>
    </w:p>
    <w:p w14:paraId="27353588">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面积：结合项目可行性研究报告的批复，本项目总用地面积511.18亩，建筑面积为14.02万平方米。本项目为日光温室建设，根据项目总建筑面积折算，日光温室部分占地约210亩。本项目考虑将150亩日光温室用于种植小番茄，30亩用于种植黄瓜，剩余30亩温室大棚用于对外出租。</w:t>
      </w:r>
    </w:p>
    <w:p w14:paraId="41820D2B">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损耗率：考虑到小番茄在采摘、存储以及运输过程中难免存在损耗，本项目保守估计运营期内损耗率为3%。</w:t>
      </w:r>
    </w:p>
    <w:p w14:paraId="2F633E33">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销售率：预测本项目运营期第一年按照80%销售率进行销售，后续每年销售率增长5%，最高增长至95%后，不再设置增长。</w:t>
      </w:r>
    </w:p>
    <w:p w14:paraId="09E8C7E6">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分成比例：本项目根据炉霍县农牧农村和科技局出具的种养说明，按农产品销售收入的85%分成，取得种植分成收入。</w:t>
      </w:r>
    </w:p>
    <w:p w14:paraId="655002F1">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②黄瓜种植分成收入</w:t>
      </w:r>
    </w:p>
    <w:p w14:paraId="6790BAE0">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计算公式：黄瓜种植分成收入=单价（元/kg）×产量（kg/亩·年）×面积（亩）×损耗率×销售率×分成比例</w:t>
      </w:r>
    </w:p>
    <w:p w14:paraId="2D2249AB">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单价：根据惠农网中水果黄瓜出售价格数据，四川省地区市场交易价格为7元-10元/kg（详见下图4-4）。鉴于本项目温室大棚建设标准及后续管理要求更高，水果黄瓜品质更优、量产价值更高，且综合考虑产品的交易流通效率，本项目销售单价参照四川省内水果黄瓜出售价格，暂按6元/kg计取。结合人均GDP增长情况，拟定本项目销售价格按3年增长3%。</w:t>
      </w:r>
    </w:p>
    <w:p w14:paraId="17FF7468">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亩产：参考相关种植数据，水果黄瓜春季亩产量约为1.5万斤（7500kg），秋季亩产量约为1.2万斤（6000kg），则年亩产量达2.7万斤（13500kg）（如图4-5）。本项目结合当地种植数据并综合考虑项目所在地气象环境条件及本项目现代化种植基地高标准建设的优势，基于谨慎性原则。设定运营期首年，水果黄瓜产量为8000kg/亩/年，运营期第二年考虑各项种植技术条件成熟，年亩产按10000kg/亩考虑，运营期第三年按12000kg/亩考虑。后续年度产量不再增长。</w:t>
      </w:r>
    </w:p>
    <w:p w14:paraId="7B3B4430">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面积：结合项目可行性研究报告的批复，本项目总用地面积511.18亩，建筑面积为14.02万平方米。本项目为日光温室建设，根据项目总建筑面积折算，日光温室部分占地约210亩。本项目考虑将150亩日光温室用于种植小番茄，30亩用于种植黄瓜，剩余30亩温室大棚用于对外出租。故黄瓜种植面积为30亩。</w:t>
      </w:r>
    </w:p>
    <w:p w14:paraId="05E7E103">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损耗率：考虑到黄瓜在采摘、存储以及运输过程中难免存在损耗，本项目保守估计运营期内损耗率为3%。</w:t>
      </w:r>
    </w:p>
    <w:p w14:paraId="7C0ED399">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销售率：预测本项目运营期第一年按照80%销售率进行销售，后续每年销售率增长5%，最高增长至95%后，不再设置增长。</w:t>
      </w:r>
    </w:p>
    <w:p w14:paraId="02F6278D">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分成比例：本项目根据炉霍县农牧农村和科技局出具的种养说明，按农产品销售收入的85%分成，取得种植分成收入。</w:t>
      </w:r>
    </w:p>
    <w:p w14:paraId="340F2567">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③温室大棚出租收入</w:t>
      </w:r>
    </w:p>
    <w:p w14:paraId="5F8DEB74">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收入测算公式：温室大棚出租收入=单价（元/亩/年）×出租面积（亩）×出租率（%）</w:t>
      </w:r>
    </w:p>
    <w:p w14:paraId="2A0219BB">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单价：经查询全国各地温室大棚出租价格，市场出租价格在8000-24000元/亩/年。本项目结合甘孜地区日光温室大棚建设现状，谨慎考虑本项目温室大棚出租价格按8000元/亩/年计算，结合人均GDP增长情况，拟定本项目出租价格按3年增长3%。</w:t>
      </w:r>
    </w:p>
    <w:p w14:paraId="64BF55AD">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出租面积：结合项目可行性研究报告的批复，本项目总用地面积511.18亩，建筑面积为14.02万平方米。本项目为日光温室建设，根据项目总建筑面积折算，日光温室部分占地约210亩。本项目考虑将150亩日光温室用于种植小番茄，30亩用于种植黄瓜，剩余30亩温室大棚用于对外出租。考虑当前甘孜地区大棚出租情况，暂考虑将20亩温室大棚用于对外出租。</w:t>
      </w:r>
    </w:p>
    <w:p w14:paraId="27542BDC">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出租率：本项目参照当地农业生产条件及相关基础设施完备情况，拟定于运营期第一年出租率达70%，后续每年出租率增长5%，最高不超过80%。</w:t>
      </w:r>
    </w:p>
    <w:p w14:paraId="33C9A8F0">
      <w:pPr>
        <w:spacing w:line="560" w:lineRule="exact"/>
        <w:ind w:firstLine="640" w:firstLineChars="200"/>
        <w:rPr>
          <w:rFonts w:hint="eastAsia" w:ascii="仿宋_GB2312" w:hAnsi="Calibri" w:eastAsia="仿宋_GB2312" w:cs="Times New Roman"/>
          <w:b w:val="0"/>
          <w:bCs/>
          <w:sz w:val="32"/>
          <w:szCs w:val="32"/>
        </w:rPr>
      </w:pPr>
      <w:r>
        <w:rPr>
          <w:rFonts w:hint="default" w:ascii="仿宋_GB2312" w:hAnsi="Calibri" w:eastAsia="仿宋_GB2312" w:cs="Times New Roman"/>
          <w:b w:val="0"/>
          <w:bCs/>
          <w:sz w:val="32"/>
          <w:szCs w:val="32"/>
          <w:lang w:val="en-US" w:eastAsia="zh-CN"/>
        </w:rPr>
        <w:t>综上，根据上述分析可对本项目债券期限内项目收入进行测算。项目计算期内预计总收入为24730.78万元。</w:t>
      </w:r>
    </w:p>
    <w:p w14:paraId="0E09645C">
      <w:pPr>
        <w:numPr>
          <w:ilvl w:val="0"/>
          <w:numId w:val="0"/>
        </w:numPr>
        <w:spacing w:line="560" w:lineRule="exact"/>
        <w:ind w:firstLine="643" w:firstLineChars="200"/>
        <w:rPr>
          <w:rFonts w:hint="eastAsia" w:ascii="仿宋_GB2312" w:eastAsia="仿宋_GB2312"/>
          <w:b/>
          <w:sz w:val="32"/>
          <w:szCs w:val="32"/>
        </w:rPr>
      </w:pPr>
      <w:r>
        <w:rPr>
          <w:rFonts w:hint="eastAsia" w:ascii="仿宋_GB2312" w:eastAsia="仿宋_GB2312"/>
          <w:b/>
          <w:kern w:val="2"/>
          <w:sz w:val="32"/>
          <w:szCs w:val="32"/>
          <w:lang w:val="en-US" w:eastAsia="zh-CN" w:bidi="ar-SA"/>
        </w:rPr>
        <w:t>2.</w:t>
      </w:r>
      <w:r>
        <w:rPr>
          <w:rFonts w:hint="eastAsia" w:ascii="仿宋_GB2312" w:eastAsia="仿宋_GB2312"/>
          <w:b/>
          <w:sz w:val="32"/>
          <w:szCs w:val="32"/>
        </w:rPr>
        <w:t>项目成本</w:t>
      </w:r>
    </w:p>
    <w:p w14:paraId="270CAF55">
      <w:pPr>
        <w:spacing w:line="560" w:lineRule="exact"/>
        <w:ind w:firstLine="640" w:firstLineChars="200"/>
        <w:rPr>
          <w:rFonts w:hint="default" w:ascii="仿宋_GB2312" w:hAnsi="Calibri" w:eastAsia="仿宋_GB2312" w:cs="Times New Roman"/>
          <w:b w:val="0"/>
          <w:bCs/>
          <w:sz w:val="32"/>
          <w:szCs w:val="32"/>
          <w:lang w:val="en-US" w:eastAsia="zh-CN"/>
        </w:rPr>
      </w:pPr>
      <w:bookmarkStart w:id="45" w:name="_Hlk84440610"/>
      <w:r>
        <w:rPr>
          <w:rFonts w:hint="default" w:ascii="仿宋_GB2312" w:hAnsi="Calibri" w:eastAsia="仿宋_GB2312" w:cs="Times New Roman"/>
          <w:b w:val="0"/>
          <w:bCs/>
          <w:sz w:val="32"/>
          <w:szCs w:val="32"/>
          <w:lang w:val="en-US" w:eastAsia="zh-CN"/>
        </w:rPr>
        <w:t>项目经营成本包括土地流转成本、燃料及动力费、外购原材料费用、工资及福利费、管理费用、日常维护费等。</w:t>
      </w:r>
    </w:p>
    <w:p w14:paraId="13DBC490">
      <w:pPr>
        <w:spacing w:line="560" w:lineRule="exact"/>
        <w:ind w:firstLine="643" w:firstLineChars="200"/>
        <w:rPr>
          <w:rFonts w:hint="default" w:ascii="仿宋_GB2312" w:hAnsi="Calibri" w:eastAsia="仿宋_GB2312" w:cs="Times New Roman"/>
          <w:b/>
          <w:bCs w:val="0"/>
          <w:sz w:val="32"/>
          <w:szCs w:val="32"/>
          <w:lang w:val="en-US" w:eastAsia="zh-CN"/>
        </w:rPr>
      </w:pPr>
      <w:r>
        <w:rPr>
          <w:rFonts w:hint="eastAsia" w:ascii="仿宋_GB2312" w:eastAsia="仿宋_GB2312" w:cs="Times New Roman"/>
          <w:b/>
          <w:bCs w:val="0"/>
          <w:sz w:val="32"/>
          <w:szCs w:val="32"/>
          <w:lang w:val="en-US" w:eastAsia="zh-CN"/>
        </w:rPr>
        <w:t>（1）</w:t>
      </w:r>
      <w:r>
        <w:rPr>
          <w:rFonts w:hint="default" w:ascii="仿宋_GB2312" w:hAnsi="Calibri" w:eastAsia="仿宋_GB2312" w:cs="Times New Roman"/>
          <w:b/>
          <w:bCs w:val="0"/>
          <w:sz w:val="32"/>
          <w:szCs w:val="32"/>
          <w:lang w:val="en-US" w:eastAsia="zh-CN"/>
        </w:rPr>
        <w:t>经营成本</w:t>
      </w:r>
    </w:p>
    <w:p w14:paraId="70586840">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①土地流转成本</w:t>
      </w:r>
    </w:p>
    <w:p w14:paraId="6325B7EB">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本项目土地流转费用按照当地土地流转价格进行流转，经查询当地土地流转价格（图4-7），暂定为500元/亩/年。项目占地511亩，运营期年土地流转费用为25.55万元。</w:t>
      </w:r>
    </w:p>
    <w:p w14:paraId="5E8CD08C">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②燃料及动力费</w:t>
      </w:r>
    </w:p>
    <w:p w14:paraId="75C73C18">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本项目燃料及动力费主要考虑在运营和蔬菜种植期间的用电用水消耗。分别暂按收入的3%考虑。</w:t>
      </w:r>
    </w:p>
    <w:p w14:paraId="48704CF6">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③外购原材料费用</w:t>
      </w:r>
    </w:p>
    <w:p w14:paraId="204CE560">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本项目原材料耗用包括小番茄原材料耗用、黄瓜原材料耗用。</w:t>
      </w:r>
    </w:p>
    <w:p w14:paraId="22EC03F3">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小番茄原材料耗用包括种苗、地膜、竹子、有机肥料及生物防治等，合计每年原料成本为60万元。</w:t>
      </w:r>
    </w:p>
    <w:p w14:paraId="715E9B72">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黄瓜原料耗用包括种苗、有机肥料及生物防治等，合计每年原料成本为3万元。本项目在蔬菜种植原材料耗用上，充分参考相关种植经验。出于谨慎考虑，原料费用在市场种植成本基础上进行上浮。相关依据见下图4-8和番茄、黄瓜种植原材料成本表所示。</w:t>
      </w:r>
    </w:p>
    <w:p w14:paraId="07DFBA50">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④工资及福利费</w:t>
      </w:r>
    </w:p>
    <w:p w14:paraId="4C3CB9B9">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按照同类产业基地的岗位设置和人力使用经验调研，本项目拟配置员工24名（详见下表4-3），其中管理人员2名，技术服务人员2人，其他季节性人员20名。</w:t>
      </w:r>
    </w:p>
    <w:p w14:paraId="2D41DB2E">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基于对当地薪酬标准的调研，本项目设定管理人员人均工资按6.00万元/人·年，技术服务人员人均工资按5.40万元/人·年。其他人员均为采摘种植人员，且在采摘、施肥、播种期间需要。预计全年工作时长为10个月，工资标准按0.3万元/月估算。考虑到通货膨胀因素，设定每人工资每3年增长3%。</w:t>
      </w:r>
    </w:p>
    <w:p w14:paraId="665F7668">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⑤管理费用</w:t>
      </w:r>
    </w:p>
    <w:p w14:paraId="7E2A1D0B">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管理费包括管理人员经费、日常办公，本项目管理费运营期内按人员工资及福利的5%计取。</w:t>
      </w:r>
    </w:p>
    <w:p w14:paraId="3D294022">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⑥日常维护费</w:t>
      </w:r>
    </w:p>
    <w:p w14:paraId="0BD0E363">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本项目日常维护费主要为温室大棚维修养护等，按折旧的3%计取。</w:t>
      </w:r>
    </w:p>
    <w:p w14:paraId="4406F474">
      <w:pPr>
        <w:spacing w:line="560" w:lineRule="exact"/>
        <w:ind w:firstLine="643" w:firstLineChars="200"/>
        <w:rPr>
          <w:rFonts w:hint="default" w:ascii="仿宋_GB2312" w:hAnsi="Calibri" w:eastAsia="仿宋_GB2312" w:cs="Times New Roman"/>
          <w:b/>
          <w:bCs w:val="0"/>
          <w:sz w:val="32"/>
          <w:szCs w:val="32"/>
          <w:lang w:val="en-US" w:eastAsia="zh-CN"/>
        </w:rPr>
      </w:pPr>
      <w:r>
        <w:rPr>
          <w:rFonts w:hint="default" w:ascii="仿宋_GB2312" w:hAnsi="Calibri" w:eastAsia="仿宋_GB2312" w:cs="Times New Roman"/>
          <w:b/>
          <w:bCs w:val="0"/>
          <w:sz w:val="32"/>
          <w:szCs w:val="32"/>
          <w:lang w:val="en-US" w:eastAsia="zh-CN"/>
        </w:rPr>
        <w:t>（2）折旧摊销费</w:t>
      </w:r>
    </w:p>
    <w:p w14:paraId="7BEA8B6B">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固定资产折旧标准：主要建筑物、构筑物基础设施按照30年折旧，设备设施按照折旧年限为20年，残值率为5%。</w:t>
      </w:r>
    </w:p>
    <w:p w14:paraId="29EF8A23">
      <w:pPr>
        <w:spacing w:line="560" w:lineRule="exact"/>
        <w:ind w:firstLine="643" w:firstLineChars="200"/>
        <w:rPr>
          <w:rFonts w:hint="default" w:ascii="仿宋_GB2312" w:hAnsi="Calibri" w:eastAsia="仿宋_GB2312" w:cs="Times New Roman"/>
          <w:b/>
          <w:bCs w:val="0"/>
          <w:sz w:val="32"/>
          <w:szCs w:val="32"/>
          <w:lang w:val="en-US" w:eastAsia="zh-CN"/>
        </w:rPr>
      </w:pPr>
      <w:r>
        <w:rPr>
          <w:rFonts w:hint="default" w:ascii="仿宋_GB2312" w:hAnsi="Calibri" w:eastAsia="仿宋_GB2312" w:cs="Times New Roman"/>
          <w:b/>
          <w:bCs w:val="0"/>
          <w:sz w:val="32"/>
          <w:szCs w:val="32"/>
          <w:lang w:val="en-US" w:eastAsia="zh-CN"/>
        </w:rPr>
        <w:t>（3）财务费用</w:t>
      </w:r>
    </w:p>
    <w:p w14:paraId="0BBEAE2C">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项目财务费用即专项债券融资利息，其中，项目专项债券拟发行30年期债券，利率2.5%，根据中国地方政府债券信息公开平台查询30年期债券利息在2.06%-2.5%之间，本项目取值2.5%在合理范围之内。</w:t>
      </w:r>
    </w:p>
    <w:p w14:paraId="4A452AEC">
      <w:pPr>
        <w:spacing w:line="560" w:lineRule="exact"/>
        <w:ind w:firstLine="643" w:firstLineChars="200"/>
        <w:rPr>
          <w:rFonts w:hint="default" w:ascii="仿宋_GB2312" w:hAnsi="Calibri" w:eastAsia="仿宋_GB2312" w:cs="Times New Roman"/>
          <w:b/>
          <w:bCs w:val="0"/>
          <w:sz w:val="32"/>
          <w:szCs w:val="32"/>
          <w:lang w:val="en-US" w:eastAsia="zh-CN"/>
        </w:rPr>
      </w:pPr>
      <w:r>
        <w:rPr>
          <w:rFonts w:hint="default" w:ascii="仿宋_GB2312" w:hAnsi="Calibri" w:eastAsia="仿宋_GB2312" w:cs="Times New Roman"/>
          <w:b/>
          <w:bCs w:val="0"/>
          <w:sz w:val="32"/>
          <w:szCs w:val="32"/>
          <w:lang w:val="en-US" w:eastAsia="zh-CN"/>
        </w:rPr>
        <w:t>（4）相关税费</w:t>
      </w:r>
    </w:p>
    <w:p w14:paraId="2FDDA8DF">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增值税：增值税=销项税-进项税</w:t>
      </w:r>
    </w:p>
    <w:p w14:paraId="5637842E">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进项税：根据最新增值税税率，本项目进项税按照工程建设费用的9%，工程建设其他费用的6%进行计算。本项目在建设期内共产生进项税770.42万元，可全部用于抵扣进项税额。</w:t>
      </w:r>
    </w:p>
    <w:p w14:paraId="0D5CD4B7">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销项税：根据《营业税改征增值税试点实施办法》财税〔2016〕36号文件附：税目解释的规定，农产品销售收入不产生增值税。温室大棚出租收入增值税税率为9%。本项目共产生销项税为37.90万元，故项目在运营期不交增值税。</w:t>
      </w:r>
    </w:p>
    <w:p w14:paraId="672C7331">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税金及附加：税金及附加费=增值税×（城市维护建设税+教育费附加+地方教育附加）</w:t>
      </w:r>
    </w:p>
    <w:p w14:paraId="1A13E914">
      <w:pPr>
        <w:spacing w:line="560" w:lineRule="exact"/>
        <w:ind w:firstLine="640" w:firstLineChars="200"/>
        <w:rPr>
          <w:rFonts w:hint="default"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税金及附加包括城市维护建设税、教育费附加、地方教育附加。其中城市维护建设税规定按7%计取，教育费附加按3%计取；地方教育附加按2%计取。</w:t>
      </w:r>
    </w:p>
    <w:bookmarkEnd w:id="45"/>
    <w:p w14:paraId="7FE36D4D">
      <w:pPr>
        <w:spacing w:line="560" w:lineRule="exact"/>
        <w:ind w:firstLine="640" w:firstLineChars="200"/>
        <w:rPr>
          <w:rFonts w:hint="eastAsia" w:ascii="仿宋_GB2312" w:hAnsi="Calibri" w:eastAsia="仿宋_GB2312" w:cs="Times New Roman"/>
          <w:b w:val="0"/>
          <w:bCs/>
          <w:sz w:val="32"/>
          <w:szCs w:val="32"/>
          <w:lang w:val="en-US" w:eastAsia="zh-CN"/>
        </w:rPr>
      </w:pPr>
      <w:r>
        <w:rPr>
          <w:rFonts w:hint="default" w:ascii="仿宋_GB2312" w:hAnsi="Calibri" w:eastAsia="仿宋_GB2312" w:cs="Times New Roman"/>
          <w:b w:val="0"/>
          <w:bCs/>
          <w:sz w:val="32"/>
          <w:szCs w:val="32"/>
          <w:lang w:val="en-US" w:eastAsia="zh-CN"/>
        </w:rPr>
        <w:t>综上所述，经计算可知，本项目预测期成本费用为23,120.21万元。</w:t>
      </w:r>
    </w:p>
    <w:p w14:paraId="2303FAF4">
      <w:pPr>
        <w:spacing w:line="560" w:lineRule="exact"/>
        <w:ind w:firstLine="643" w:firstLineChars="200"/>
        <w:rPr>
          <w:rFonts w:ascii="楷体_GB2312" w:eastAsia="楷体_GB2312"/>
          <w:b/>
          <w:sz w:val="32"/>
          <w:szCs w:val="32"/>
        </w:rPr>
      </w:pPr>
      <w:r>
        <w:rPr>
          <w:rFonts w:hint="eastAsia" w:ascii="楷体_GB2312" w:eastAsia="楷体_GB2312"/>
          <w:b/>
          <w:sz w:val="32"/>
          <w:szCs w:val="32"/>
        </w:rPr>
        <w:t>（二）资金测算平衡情况</w:t>
      </w:r>
    </w:p>
    <w:p w14:paraId="2E6430A8">
      <w:pPr>
        <w:widowControl/>
        <w:adjustRightInd w:val="0"/>
        <w:snapToGrid w:val="0"/>
        <w:spacing w:after="217" w:afterLines="50" w:line="560" w:lineRule="exact"/>
        <w:ind w:firstLine="640" w:firstLineChars="200"/>
        <w:rPr>
          <w:rFonts w:hint="eastAsia" w:ascii="仿宋_GB2312" w:hAnsi="华文楷体" w:eastAsia="仿宋_GB2312"/>
          <w:sz w:val="32"/>
          <w:szCs w:val="32"/>
          <w:lang w:val="en-GB" w:eastAsia="zh-CN"/>
        </w:rPr>
        <w:sectPr>
          <w:pgSz w:w="11906" w:h="16838"/>
          <w:pgMar w:top="2098" w:right="1418" w:bottom="1588" w:left="1644" w:header="851" w:footer="992" w:gutter="0"/>
          <w:pgNumType w:fmt="numberInDash"/>
          <w:cols w:space="720" w:num="1"/>
          <w:docGrid w:type="lines" w:linePitch="435" w:charSpace="0"/>
        </w:sectPr>
      </w:pPr>
      <w:r>
        <w:rPr>
          <w:rFonts w:hint="eastAsia" w:ascii="仿宋_GB2312" w:hAnsi="华文楷体" w:eastAsia="仿宋_GB2312"/>
          <w:sz w:val="32"/>
          <w:szCs w:val="32"/>
          <w:lang w:val="en-GB" w:eastAsia="zh-CN"/>
        </w:rPr>
        <w:t>若项目在满足上述资金筹集计划、项目实施计划、资金使用计划及预期收益的假设前提下，政府专项债到期日累计资金结余2,129.14万元，项目在预测期内可实现息前净现金流16,716.64万元，政府专项债券到期本息合计14875.00万元，本项目息前净现金流/政府专项债本息的收益覆盖倍数为1.12倍。期间不存在资金缺口。</w:t>
      </w:r>
    </w:p>
    <w:p w14:paraId="5420DA1B">
      <w:pPr>
        <w:widowControl/>
        <w:adjustRightInd w:val="0"/>
        <w:snapToGrid w:val="0"/>
        <w:spacing w:after="217" w:afterLines="50" w:line="560" w:lineRule="exact"/>
        <w:ind w:firstLine="643" w:firstLineChars="200"/>
        <w:jc w:val="center"/>
        <w:rPr>
          <w:rFonts w:ascii="仿宋_GB2312" w:eastAsia="仿宋_GB2312"/>
          <w:b/>
          <w:bCs/>
          <w:sz w:val="32"/>
          <w:szCs w:val="32"/>
        </w:rPr>
      </w:pPr>
      <w:r>
        <w:rPr>
          <w:rFonts w:hint="eastAsia" w:ascii="仿宋_GB2312" w:hAnsi="华文楷体" w:eastAsia="仿宋_GB2312" w:cs="Times New Roman"/>
          <w:b/>
          <w:bCs/>
          <w:sz w:val="32"/>
          <w:szCs w:val="32"/>
          <w:lang w:val="en-US" w:eastAsia="zh-CN"/>
        </w:rPr>
        <w:t>炉霍县现代农业特色产业示范基地建设项目（一期）</w:t>
      </w:r>
      <w:r>
        <w:rPr>
          <w:rFonts w:hint="eastAsia" w:ascii="仿宋_GB2312" w:hAnsi="华文楷体" w:eastAsia="仿宋_GB2312" w:cs="Times New Roman"/>
          <w:b/>
          <w:bCs/>
          <w:sz w:val="32"/>
          <w:szCs w:val="32"/>
          <w:lang w:val="en-GB"/>
        </w:rPr>
        <w:t>资金测算平衡表</w:t>
      </w:r>
    </w:p>
    <w:tbl>
      <w:tblPr>
        <w:tblStyle w:val="13"/>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87"/>
        <w:gridCol w:w="3589"/>
        <w:gridCol w:w="1341"/>
        <w:gridCol w:w="1232"/>
        <w:gridCol w:w="1232"/>
        <w:gridCol w:w="1013"/>
        <w:gridCol w:w="1013"/>
        <w:gridCol w:w="1013"/>
        <w:gridCol w:w="1122"/>
        <w:gridCol w:w="1122"/>
        <w:gridCol w:w="1122"/>
        <w:gridCol w:w="1122"/>
      </w:tblGrid>
      <w:tr w14:paraId="7095CF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8DEA8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序号</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87BAE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项目</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A0D24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 合计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B1E64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 第1年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F4E92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 第2年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AAD38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第3年</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2A6DF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第4年</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A2C3C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第5年</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9F135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第6年</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66DE5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第7年</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4D0BF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第8年</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8106F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第9年</w:t>
            </w:r>
          </w:p>
        </w:tc>
      </w:tr>
      <w:tr w14:paraId="52471BF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F0863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一</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141D2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经营活动产生的净现金流量</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C2A29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16,716.64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7DAE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6DF68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5828A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218.86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7C5E9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379.27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1AAC9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495.23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DAE78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547.55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EEFB8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547.55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E071E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547.55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B7743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560.71 </w:t>
            </w:r>
          </w:p>
        </w:tc>
      </w:tr>
      <w:tr w14:paraId="4A9392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5F586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96938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现金流入</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BCDBA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24,730.78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1BD67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1D510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AC1E7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432.68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61300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600.69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FB371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724.05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295D9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786.47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3BB58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786.47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C09B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786.47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92246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810.07 </w:t>
            </w:r>
          </w:p>
        </w:tc>
      </w:tr>
      <w:tr w14:paraId="40649BA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6F3EE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1.1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A2428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经营收入</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70E7D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24,730.78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E5275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7E037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199EC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432.68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FB016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600.69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83CD8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724.05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25758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786.47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6905D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786.47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6FB35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786.47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46100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810.07 </w:t>
            </w:r>
          </w:p>
        </w:tc>
      </w:tr>
      <w:tr w14:paraId="59935C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B7180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1.2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DC965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补贴收入</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9A905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0.00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E92F9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BA6B8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58FD0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9CC89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7EAD6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0EAC5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2A082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0364E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3438D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r>
      <w:tr w14:paraId="61D282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84C59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7CDC2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现金流出</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B9D8D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8,014.14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3131A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1A0C8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211C2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213.82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66EA6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221.42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470F3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228.82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ECD2D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238.92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7921A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238.92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2044D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238.92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532A4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249.36 </w:t>
            </w:r>
          </w:p>
        </w:tc>
      </w:tr>
      <w:tr w14:paraId="4BA217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E074B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50721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经营成本</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7C5D0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7,478.37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95B76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BC68E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5694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213.82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E3967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221.42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83D21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228.82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F1CB1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237.06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88CC7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237.06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BF363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237.06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E7D12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243.11 </w:t>
            </w:r>
          </w:p>
        </w:tc>
      </w:tr>
      <w:tr w14:paraId="6E0FC2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08C3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2.2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18AB1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相关税费（相关税费+企业所得税）</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2B769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535.77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2132E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EC013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B5062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0.00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DB4C2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0.00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79275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0.00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4EBB1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1.86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87793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1.86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A0108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1.86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B8097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6.25 </w:t>
            </w:r>
          </w:p>
        </w:tc>
      </w:tr>
      <w:tr w14:paraId="4EB1792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660F6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二</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066F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投资活动净现金流量</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6F284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-10,404.00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E2B47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-4,122.00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0E40B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-6,282.00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9E03F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AEC78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5FC8A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8261E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E5032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6A81B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0EEFD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r>
      <w:tr w14:paraId="16038E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FDAEC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15761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现金流入</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85E7C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0.00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25EBA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7E1A6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32F64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1D899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6B936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9DA4B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8892E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9158A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418F6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r>
      <w:tr w14:paraId="4EDBAF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18343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D8F82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现金流出</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6F8E4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10,404.00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3B48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4,122.00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CF07C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6,282.00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2A866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FA445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8F1A3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0BF7B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E1B7B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AAF48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D2A8D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r>
      <w:tr w14:paraId="087E32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2D610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DE377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建设投资</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363DC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10,404.00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6F7CE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4,122.00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4CC9E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6,282.00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60965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E1F97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67505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03027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D04F8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2080F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0777F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r>
      <w:tr w14:paraId="3E3CA4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781A4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三</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1FFAE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筹措活动净现金流量</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6F1B4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-4,183.50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8C65D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4,122.00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5FEB0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6,282.00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F3FA8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9669B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B4426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F2626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AC0FA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27639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8D99B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r>
      <w:tr w14:paraId="1C717E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BEBD2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EA965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现金流入</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2F31B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10,700.00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2B66D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4,200.00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156D7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6,500.00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FC4B0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4F568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A646A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A8C68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8A856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112FA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A8DD0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r>
      <w:tr w14:paraId="334AD9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4F5A8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1.1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AD222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项目资本金投入</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A107D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2,200.00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CEEA9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1,200.00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5A26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1,000.00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A5AF8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450BB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C3FCE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CA4AB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56F24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703E5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F3E56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r>
      <w:tr w14:paraId="382EDD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78B77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1.2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6ADD3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专项债券资金</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E5DD5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8,500.00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88586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3,000.00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4EFC5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5,500.00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88E05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2FD77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8BF6EC">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927B75">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E56673">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BFF9E7">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E3C02E">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r>
      <w:tr w14:paraId="36E5DA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125C3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89338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现金流出</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15CDE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14,883.50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B4AE2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78.00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5EC3B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218.00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A96D4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7DDD8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2A205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19276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F34B3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41991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5152C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r>
      <w:tr w14:paraId="13FB9D2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EC8EF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93502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支付债券利息</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5B056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6,375.00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1D82A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75.00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2332C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34E04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A1A22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1EEF9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04A47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C7621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7FFB1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8C0F8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r>
      <w:tr w14:paraId="54FD54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A49F2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2.2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157ED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支付债券发行费用</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748DA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8.50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BC7E9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EEF2A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5.50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87864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9FA191">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A359A4">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188BD0">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1A6572">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64FF72">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DF47E6">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r>
      <w:tr w14:paraId="6EB81E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CDB31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2.5 </w:t>
            </w:r>
          </w:p>
        </w:tc>
        <w:tc>
          <w:tcPr>
            <w:tcW w:w="1148" w:type="pct"/>
            <w:tcBorders>
              <w:top w:val="single" w:color="000000" w:sz="4" w:space="0"/>
              <w:left w:val="single" w:color="000000" w:sz="4" w:space="0"/>
              <w:bottom w:val="nil"/>
              <w:right w:val="single" w:color="000000" w:sz="4" w:space="0"/>
            </w:tcBorders>
            <w:shd w:val="clear" w:color="auto" w:fill="auto"/>
            <w:vAlign w:val="center"/>
          </w:tcPr>
          <w:p w14:paraId="04A24A8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支付专项债券本金</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93BD2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8,500.00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884D3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88650B">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FBA52B">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5C5944">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801B70">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977B9D">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ED2BCC">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17326E">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F4114F">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r>
      <w:tr w14:paraId="0021E9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6A8C0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四</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A81B3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left"/>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现金流量总计</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DC63C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34C97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D75CB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0</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DC287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12.72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F2EB7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346.26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0F27B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911.72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A2FF1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1,581.82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A1909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2,251.91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6226E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2,922.01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A8663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3,618.43 </w:t>
            </w:r>
          </w:p>
        </w:tc>
      </w:tr>
      <w:tr w14:paraId="576725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7F786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E29C0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项目期的期初资金</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12D64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8769F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76FD5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7D594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0.00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84C25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6.36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1FB77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173.13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6C368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455.86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F70CC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790.91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C90FA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1,125.96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E5B80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1,461.00 </w:t>
            </w:r>
          </w:p>
        </w:tc>
      </w:tr>
      <w:tr w14:paraId="6A1AD32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9AD0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4296F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项目期内现金变动（一+二+三）</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6AB03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2,129.14 </w:t>
            </w: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66807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BDFA7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0C369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6.36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92E05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166.77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56DF7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282.73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42F51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335.05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3F193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335.05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3EEC8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335.05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B866F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348.21 </w:t>
            </w:r>
          </w:p>
        </w:tc>
      </w:tr>
      <w:tr w14:paraId="62BEF5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077EC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 </w:t>
            </w:r>
          </w:p>
        </w:tc>
        <w:tc>
          <w:tcPr>
            <w:tcW w:w="114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A6574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项目期的期末资金</w:t>
            </w:r>
          </w:p>
        </w:tc>
        <w:tc>
          <w:tcPr>
            <w:tcW w:w="42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BF029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8BFA0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E8B02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C5DDB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6.36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7FB9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173.13 </w:t>
            </w:r>
          </w:p>
        </w:tc>
        <w:tc>
          <w:tcPr>
            <w:tcW w:w="32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82B1C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455.86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0A9DC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790.91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90760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1,125.96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FBC81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1,461.00 </w:t>
            </w:r>
          </w:p>
        </w:tc>
        <w:tc>
          <w:tcPr>
            <w:tcW w:w="35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AC765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1,809.21 </w:t>
            </w:r>
          </w:p>
        </w:tc>
      </w:tr>
    </w:tbl>
    <w:p w14:paraId="151D91F0">
      <w:pPr>
        <w:widowControl/>
        <w:adjustRightInd w:val="0"/>
        <w:snapToGrid w:val="0"/>
        <w:spacing w:after="217" w:afterLines="50" w:line="560" w:lineRule="exact"/>
        <w:ind w:firstLine="640" w:firstLineChars="200"/>
        <w:jc w:val="center"/>
        <w:rPr>
          <w:rFonts w:ascii="仿宋_GB2312" w:eastAsia="仿宋_GB2312"/>
          <w:sz w:val="32"/>
          <w:szCs w:val="32"/>
        </w:rPr>
        <w:sectPr>
          <w:pgSz w:w="16838" w:h="11906" w:orient="landscape"/>
          <w:pgMar w:top="720" w:right="720" w:bottom="720" w:left="720" w:header="851" w:footer="992" w:gutter="0"/>
          <w:pgNumType w:fmt="numberInDash"/>
          <w:cols w:space="720" w:num="1"/>
          <w:docGrid w:type="lines" w:linePitch="435" w:charSpace="0"/>
        </w:sectPr>
      </w:pPr>
    </w:p>
    <w:p w14:paraId="618FC0ED">
      <w:pPr>
        <w:widowControl/>
        <w:adjustRightInd w:val="0"/>
        <w:snapToGrid w:val="0"/>
        <w:spacing w:after="217" w:afterLines="50" w:line="560" w:lineRule="exact"/>
        <w:ind w:firstLine="643" w:firstLineChars="200"/>
        <w:jc w:val="center"/>
        <w:rPr>
          <w:rFonts w:hint="default" w:ascii="仿宋_GB2312" w:hAnsi="华文楷体" w:eastAsia="仿宋_GB2312" w:cs="Times New Roman"/>
          <w:b/>
          <w:bCs/>
          <w:sz w:val="32"/>
          <w:szCs w:val="32"/>
          <w:lang w:val="en-US" w:eastAsia="zh-CN"/>
        </w:rPr>
      </w:pPr>
      <w:r>
        <w:rPr>
          <w:rFonts w:hint="eastAsia" w:ascii="仿宋_GB2312" w:hAnsi="华文楷体" w:eastAsia="仿宋_GB2312" w:cs="Times New Roman"/>
          <w:b/>
          <w:bCs/>
          <w:sz w:val="32"/>
          <w:szCs w:val="32"/>
          <w:lang w:val="en-US" w:eastAsia="zh-CN"/>
        </w:rPr>
        <w:t>续前表</w:t>
      </w:r>
    </w:p>
    <w:tbl>
      <w:tblPr>
        <w:tblStyle w:val="13"/>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84"/>
        <w:gridCol w:w="3561"/>
        <w:gridCol w:w="1115"/>
        <w:gridCol w:w="1115"/>
        <w:gridCol w:w="1115"/>
        <w:gridCol w:w="1115"/>
        <w:gridCol w:w="1115"/>
        <w:gridCol w:w="1115"/>
        <w:gridCol w:w="1115"/>
        <w:gridCol w:w="1115"/>
        <w:gridCol w:w="1221"/>
        <w:gridCol w:w="1222"/>
      </w:tblGrid>
      <w:tr w14:paraId="33DA3B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1B4C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序号</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8ACDE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项目</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22021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第10年</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C6C55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第11年</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A66BF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第12年</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0FD6F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第13年</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0F28A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第14年</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7016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第15年</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5F829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第16年</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63C63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第17年</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BC4CC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第18年</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0D2A7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第19年</w:t>
            </w:r>
          </w:p>
        </w:tc>
      </w:tr>
      <w:tr w14:paraId="109684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9E8A2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一</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37EB0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经营活动产生的净现金流量</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9B05D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560.71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8CDBD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560.71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45935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574.27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7A2E5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574.27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D83B5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574.27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FDE30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588.24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163A1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588.24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DA57E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588.24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03D69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602.60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635A7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602.60 </w:t>
            </w:r>
          </w:p>
        </w:tc>
      </w:tr>
      <w:tr w14:paraId="085902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0BB91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CDEF4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现金流入</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3A234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810.07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B5D9C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810.07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99EAE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834.38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E0094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834.38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8EABB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834.38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85A47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859.41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72CE0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859.41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F8E7E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859.41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6043B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885.18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7FDC7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885.18 </w:t>
            </w:r>
          </w:p>
        </w:tc>
      </w:tr>
      <w:tr w14:paraId="632FCA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547B6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1.1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68B0C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经营收入</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37101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810.07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5E05B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810.07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107BE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834.38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829B6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834.38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683D6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834.38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9A017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859.41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C2B80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859.41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CBD95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859.41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4C016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885.18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0201F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885.18 </w:t>
            </w:r>
          </w:p>
        </w:tc>
      </w:tr>
      <w:tr w14:paraId="07AEEDF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337E8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C1B3E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现金流出</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21405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249.36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A75BC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249.36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5103D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260.11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89EAA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260.11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6E833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260.11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EE36E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271.17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B476E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271.17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79305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271.17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CF987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282.58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3CFE7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282.58 </w:t>
            </w:r>
          </w:p>
        </w:tc>
      </w:tr>
      <w:tr w14:paraId="7FBCE4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F05B2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45E70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经营成本</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E12AA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243.11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B1AB1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243.11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3917E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249.34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3FF95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249.34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DB556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249.34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BB436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255.75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D8490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255.75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E0CE5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255.75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33680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262.37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2E562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262.37 </w:t>
            </w:r>
          </w:p>
        </w:tc>
      </w:tr>
      <w:tr w14:paraId="41BB2D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29190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2.2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403FF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相关税费（相关税费+企业所得税）</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CE496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6.25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02B0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6.25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69F14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10.77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E68E8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10.77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1CDA5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10.77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A3F21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15.42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E4A63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15.42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66E01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15.42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6DEEB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20.21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60557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20.21 </w:t>
            </w:r>
          </w:p>
        </w:tc>
      </w:tr>
      <w:tr w14:paraId="648160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44D20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二</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E8E7F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投资活动净现金流量</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5BDE2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5A286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59493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A7959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FD355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253A8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1E7C3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6D128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C9D97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FD45B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r>
      <w:tr w14:paraId="601023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D1D31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6A078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现金流入</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1B52D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BF54B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1BBF1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C14C5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1E79B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4B83F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F3AFA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BFD98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B89B4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5947E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r>
      <w:tr w14:paraId="077FC0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5F0AD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90457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现金流出</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E9A5F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AE1FE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510D9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8F6F0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F482E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F9767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E02A4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4AAF3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7E3E1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92014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r>
      <w:tr w14:paraId="2F6C556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2D11F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DD4E8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建设投资</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FC389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2D9DA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498E3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1FC0F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5B72F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1BA23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BDEE3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D2A65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F18AA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FAEF6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r>
      <w:tr w14:paraId="5A906B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449F5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三</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50327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筹措活动净现金流量</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D16CD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B2D9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F3B11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3D217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5B4A5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571E15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319F0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A7859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4D3F7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E42E2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r>
      <w:tr w14:paraId="4D8DB8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B7714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B9517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现金流入</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FD979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85E9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B2134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5FBD9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FA259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4D3DC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003CD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BEAB4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A0223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578C0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r>
      <w:tr w14:paraId="352E03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714C6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1.1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0846B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项目资本金投入</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0514F6">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C2521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8493D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4F642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A41A6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26ABF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DD2D7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9018B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4CDAE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E3A3E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r>
      <w:tr w14:paraId="73BA0D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B7197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1.2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CB966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专项债券资金</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30554B">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11C33A">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543B78">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62FEA8">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9EE4F0">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E2F9B5">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B92331">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3185C3">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FF0528">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D5E144">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r>
      <w:tr w14:paraId="7626F50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7C7F4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6B28E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现金流出</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48FA9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2235E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EF7F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7EB8E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74533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A2895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06F0D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FBB2B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1023D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AAF67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r>
      <w:tr w14:paraId="0C424E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55586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343D7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支付债券利息</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8EBFC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FD842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643AC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44B6A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042A0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B1DC9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8026A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95242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5B67E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68B5E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r>
      <w:tr w14:paraId="7ACC43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7EA8C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2.2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C2C0C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支付债券发行费用</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8DCB21">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B6184A">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F98DBE">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0F2631">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0137BF">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DBDF2B">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412695">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ACE4BB">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58A979">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2F7F29">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r>
      <w:tr w14:paraId="638624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89885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2.5 </w:t>
            </w:r>
          </w:p>
        </w:tc>
        <w:tc>
          <w:tcPr>
            <w:tcW w:w="1140" w:type="pct"/>
            <w:tcBorders>
              <w:top w:val="single" w:color="000000" w:sz="4" w:space="0"/>
              <w:left w:val="single" w:color="000000" w:sz="4" w:space="0"/>
              <w:bottom w:val="nil"/>
              <w:right w:val="single" w:color="000000" w:sz="4" w:space="0"/>
            </w:tcBorders>
            <w:shd w:val="clear" w:color="auto" w:fill="auto"/>
            <w:vAlign w:val="center"/>
          </w:tcPr>
          <w:p w14:paraId="0C155A3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支付专项债券本金</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C254A6">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880B9B">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E58212">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47A13D">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3D5FCB">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8A0B0F">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5054AC">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EC537F">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0F6DDE">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8E7806">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r>
      <w:tr w14:paraId="378B50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CCCD5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四</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244F1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left"/>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现金流量总计</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01E7D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4,314.85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8E8C9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5,011.27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9673C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5,734.81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A707B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6,458.35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93837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7,181.89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F2D24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7,933.36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495DD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8,684.83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90E6D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9,436.30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B0C1B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10,216.49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D65B9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10,996.69 </w:t>
            </w:r>
          </w:p>
        </w:tc>
      </w:tr>
      <w:tr w14:paraId="5BA4EA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826C0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5937C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项目期的期初资金</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A2064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1,809.21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D918D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2,157.42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7D775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2,505.63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B2E6F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2,867.40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C530D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3,229.17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0D49F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3,590.94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F7B7F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3,966.68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A1516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4,342.41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302C4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4,718.15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3F3A5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5,108.25 </w:t>
            </w:r>
          </w:p>
        </w:tc>
      </w:tr>
      <w:tr w14:paraId="7FDACF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47EE0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B8334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项目期内现金变动（一+二+三）</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4C34B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348.21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6E411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348.21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121DB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361.77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0203B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361.77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C22A0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361.77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944AE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375.74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651FC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375.74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47F28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375.74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74749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390.10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7EBB5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390.10 </w:t>
            </w:r>
          </w:p>
        </w:tc>
      </w:tr>
      <w:tr w14:paraId="7DDE0F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21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7F5C9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 </w:t>
            </w:r>
          </w:p>
        </w:tc>
        <w:tc>
          <w:tcPr>
            <w:tcW w:w="11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C9B7F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项目期的期末资金</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2DA33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2,157.42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65A27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2,505.63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8D1CC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2,867.40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FB1D2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3,229.17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4D396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3,590.94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60912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3,966.68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FACC6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4,342.41 </w:t>
            </w:r>
          </w:p>
        </w:tc>
        <w:tc>
          <w:tcPr>
            <w:tcW w:w="35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B42D0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4,718.15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6DABC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5,108.25 </w:t>
            </w:r>
          </w:p>
        </w:tc>
        <w:tc>
          <w:tcPr>
            <w:tcW w:w="39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7A137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5,498.34 </w:t>
            </w:r>
          </w:p>
        </w:tc>
      </w:tr>
    </w:tbl>
    <w:p w14:paraId="43735DCE">
      <w:pPr>
        <w:widowControl/>
        <w:adjustRightInd w:val="0"/>
        <w:snapToGrid w:val="0"/>
        <w:spacing w:after="217" w:afterLines="50" w:line="560" w:lineRule="exact"/>
        <w:ind w:firstLine="643" w:firstLineChars="200"/>
        <w:jc w:val="center"/>
        <w:rPr>
          <w:rFonts w:hint="default" w:ascii="仿宋_GB2312" w:hAnsi="华文楷体" w:eastAsia="仿宋_GB2312" w:cs="Times New Roman"/>
          <w:b/>
          <w:bCs/>
          <w:sz w:val="32"/>
          <w:szCs w:val="32"/>
          <w:lang w:val="en-US" w:eastAsia="zh-CN"/>
        </w:rPr>
        <w:sectPr>
          <w:pgSz w:w="16838" w:h="11906" w:orient="landscape"/>
          <w:pgMar w:top="720" w:right="720" w:bottom="720" w:left="720" w:header="851" w:footer="992" w:gutter="0"/>
          <w:pgNumType w:fmt="numberInDash"/>
          <w:cols w:space="720" w:num="1"/>
          <w:docGrid w:type="lines" w:linePitch="435" w:charSpace="0"/>
        </w:sectPr>
      </w:pPr>
    </w:p>
    <w:p w14:paraId="1CE0EF41">
      <w:pPr>
        <w:widowControl/>
        <w:adjustRightInd w:val="0"/>
        <w:snapToGrid w:val="0"/>
        <w:spacing w:after="217" w:afterLines="50" w:line="560" w:lineRule="exact"/>
        <w:ind w:firstLine="643" w:firstLineChars="200"/>
        <w:jc w:val="center"/>
        <w:rPr>
          <w:rFonts w:hint="default" w:ascii="仿宋_GB2312" w:hAnsi="华文楷体" w:eastAsia="仿宋_GB2312" w:cs="Times New Roman"/>
          <w:b/>
          <w:bCs/>
          <w:sz w:val="32"/>
          <w:szCs w:val="32"/>
          <w:lang w:val="en-US" w:eastAsia="zh-CN"/>
        </w:rPr>
      </w:pPr>
      <w:r>
        <w:rPr>
          <w:rFonts w:hint="eastAsia" w:ascii="仿宋_GB2312" w:hAnsi="华文楷体" w:eastAsia="仿宋_GB2312" w:cs="Times New Roman"/>
          <w:b/>
          <w:bCs/>
          <w:sz w:val="32"/>
          <w:szCs w:val="32"/>
          <w:lang w:val="en-US" w:eastAsia="zh-CN"/>
        </w:rPr>
        <w:t>续前表</w:t>
      </w:r>
    </w:p>
    <w:tbl>
      <w:tblPr>
        <w:tblStyle w:val="13"/>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59"/>
        <w:gridCol w:w="2556"/>
        <w:gridCol w:w="1067"/>
        <w:gridCol w:w="1103"/>
        <w:gridCol w:w="1033"/>
        <w:gridCol w:w="1033"/>
        <w:gridCol w:w="1033"/>
        <w:gridCol w:w="1033"/>
        <w:gridCol w:w="1033"/>
        <w:gridCol w:w="1033"/>
        <w:gridCol w:w="1033"/>
        <w:gridCol w:w="1033"/>
        <w:gridCol w:w="1033"/>
        <w:gridCol w:w="1033"/>
      </w:tblGrid>
      <w:tr w14:paraId="365EEF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19"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B748C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序号</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9B2FE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项目</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6632A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第20年</w:t>
            </w: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79E0B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第21年</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EFE39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第22年</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E1208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第23年</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120D9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第24年</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0D0FB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第25年</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AF271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第26年</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75141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第27年</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CE083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第28年</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76B42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第29年</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577F4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第30年</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09031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第31年</w:t>
            </w:r>
          </w:p>
        </w:tc>
      </w:tr>
      <w:tr w14:paraId="6BF6EC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AC509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一</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3C856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经营活动产生的净现金流量</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9B0AB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602.60 </w:t>
            </w: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29460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617.41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62814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617.41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A18E9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617.41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5D089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632.67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21DB7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632.67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AAB6C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632.67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1DFA7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648.38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9EF47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648.38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36AF5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648.38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1AB9A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664.56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C8BB4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643.26 </w:t>
            </w:r>
          </w:p>
        </w:tc>
      </w:tr>
      <w:tr w14:paraId="17070B1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CA7B7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D1305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现金流入</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F8C48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885.18 </w:t>
            </w: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D5F11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911.74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D67EB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911.74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ED997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911.74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AE4BE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939.09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2AF77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939.09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11262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939.09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24A74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967.26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A5BD8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967.26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EED97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967.26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B0A8A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996.28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05FBB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996.28 </w:t>
            </w:r>
          </w:p>
        </w:tc>
      </w:tr>
      <w:tr w14:paraId="152306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83B1E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1.1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56E3C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经营收入</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404BF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885.18 </w:t>
            </w: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2BACA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911.74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9D3A9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911.74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A719F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911.74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73894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939.09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CD42B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939.09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D77F5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939.09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913FF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967.26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7A87D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967.26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F5691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967.26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A46CB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996.28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CE8EB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996.28 </w:t>
            </w:r>
          </w:p>
        </w:tc>
      </w:tr>
      <w:tr w14:paraId="13F64A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94BB5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91B82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现金流出</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26A19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282.58 </w:t>
            </w: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F79AB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294.33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31FE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294.33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F205D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294.33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CDB4B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306.42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A1AD1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306.42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15C50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306.42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39730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318.88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CF2D2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318.88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66367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318.88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F8BED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331.72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C1B36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353.02 </w:t>
            </w:r>
          </w:p>
        </w:tc>
      </w:tr>
      <w:tr w14:paraId="1C278B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493E3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ED999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经营成本</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11AF2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262.37 </w:t>
            </w: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DF5D7A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269.18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284EB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269.18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6F834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269.18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B33AB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276.18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AE3CF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276.18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8CD63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276.18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D46FD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283.41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B7109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283.41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6D284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283.41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914C1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290.85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0AD2A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294.26 </w:t>
            </w:r>
          </w:p>
        </w:tc>
      </w:tr>
      <w:tr w14:paraId="3DC850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8"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EFBC2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2.2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ECCDB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相关税费（相关税费+企业所得税）</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5AF3F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20.21 </w:t>
            </w: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418D1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25.15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81F41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25.15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AA624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25.15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33DF0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30.24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50DCB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30.24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2FBBD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30.24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4E84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35.47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2EC7A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35.47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99A4C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35.47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F1695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40.87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1E799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58.76 </w:t>
            </w:r>
          </w:p>
        </w:tc>
      </w:tr>
      <w:tr w14:paraId="7249534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06100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二</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D5A1F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投资活动净现金流量</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EF862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254E4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F48C5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D22EA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0E32F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79E29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DD53F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EEB33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3464A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388CB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3471C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0280A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r>
      <w:tr w14:paraId="38716F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1"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32120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C0340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现金流入</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9F10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7BD9D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CA2F6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9CD1A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820EA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F923D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DCCF5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B413BA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F6F1D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45AC6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3F697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F69D54">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b/>
                <w:bCs/>
                <w:i w:val="0"/>
                <w:iCs w:val="0"/>
                <w:color w:val="000000"/>
                <w:sz w:val="18"/>
                <w:szCs w:val="18"/>
                <w:u w:val="none"/>
              </w:rPr>
            </w:pPr>
          </w:p>
        </w:tc>
      </w:tr>
      <w:tr w14:paraId="1C093D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4"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591F7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EF323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现金流出</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65C81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E8D9C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181D0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E6D91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79EE5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26B3E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B51D4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241705">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8DF44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210DA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8616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1E4E4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r>
      <w:tr w14:paraId="54197B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7"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5AB9D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33E85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建设投资</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F3119D">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47C87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C3273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57180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44358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400FA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2D94F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3C021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8ABBF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AE1213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DF30A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7FC29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r>
      <w:tr w14:paraId="45EA22D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57E4F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三</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E0797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筹措活动净现金流量</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C03D8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587FE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95E59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9B3AB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A398B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9EF6D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4ADAF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F0AB1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C75CE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E0228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4346B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-3,212.50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6A77C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-5,637.50 </w:t>
            </w:r>
          </w:p>
        </w:tc>
      </w:tr>
      <w:tr w14:paraId="43E7B3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6CDB9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A04C0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现金流入</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3E019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88617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0D993C">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CBA13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8F98B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671A0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06E5B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937F3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FDC12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BC7B73">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D5D8E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24DAA2">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r>
      <w:tr w14:paraId="0B3A14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B302C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1.1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FB95E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项目资本金投入</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28FA4A">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597019">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3104A7">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98BF7E">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F178B8">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873210">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1D713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4EA07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2C4E5F">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464EFB">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C34E2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251BC1">
            <w:pPr>
              <w:keepNext w:val="0"/>
              <w:keepLines w:val="0"/>
              <w:pageBreakBefore w:val="0"/>
              <w:widowControl/>
              <w:kinsoku/>
              <w:wordWrap/>
              <w:overflowPunct/>
              <w:topLinePunct w:val="0"/>
              <w:autoSpaceDE/>
              <w:autoSpaceDN/>
              <w:bidi w:val="0"/>
              <w:adjustRightInd/>
              <w:snapToGrid/>
              <w:spacing w:line="240" w:lineRule="atLeast"/>
              <w:ind w:firstLine="0" w:firstLineChars="0"/>
              <w:jc w:val="center"/>
              <w:rPr>
                <w:rFonts w:hint="eastAsia" w:ascii="宋体" w:hAnsi="宋体" w:eastAsia="宋体" w:cs="宋体"/>
                <w:i w:val="0"/>
                <w:iCs w:val="0"/>
                <w:color w:val="000000"/>
                <w:sz w:val="18"/>
                <w:szCs w:val="18"/>
                <w:u w:val="none"/>
              </w:rPr>
            </w:pPr>
          </w:p>
        </w:tc>
      </w:tr>
      <w:tr w14:paraId="0619DF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69141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1.2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5BAE8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专项债券资金</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8E2647">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E58BCD">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F36904">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26DF4F">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93D4EE">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F8EF45">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7C0494">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6545F65">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1CA0018">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6BC50D">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6E27CB">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52021C">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r>
      <w:tr w14:paraId="78D0E4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A4B4C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B9889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现金流出</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7CE61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71470D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E781F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9498F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5CAC3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2D1D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26368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05C16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AEC9D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4707D9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9914B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3,212.50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BFCE2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5,637.50 </w:t>
            </w:r>
          </w:p>
        </w:tc>
      </w:tr>
      <w:tr w14:paraId="4B7C2C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5E064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99839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支付债券利息</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A05F6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5428C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0EE92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2F543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8F6CE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7045C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01711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5A973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A7F1C7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D9628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F3679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212.50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B4934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137.50 </w:t>
            </w:r>
          </w:p>
        </w:tc>
      </w:tr>
      <w:tr w14:paraId="040983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31A1B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2.2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F53F7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支付债券发行费用</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EC6FA9">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69785D">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DCC1BB">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DAD932">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68322BA">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E19ECD">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2CEF61">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0767C8">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A09032">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22B2F1">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4DB701">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3F9E18">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r>
      <w:tr w14:paraId="124D9D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9EA87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2.5 </w:t>
            </w:r>
          </w:p>
        </w:tc>
        <w:tc>
          <w:tcPr>
            <w:tcW w:w="818" w:type="pct"/>
            <w:tcBorders>
              <w:top w:val="single" w:color="000000" w:sz="4" w:space="0"/>
              <w:left w:val="single" w:color="000000" w:sz="4" w:space="0"/>
              <w:bottom w:val="nil"/>
              <w:right w:val="single" w:color="000000" w:sz="4" w:space="0"/>
            </w:tcBorders>
            <w:shd w:val="clear" w:color="auto" w:fill="auto"/>
            <w:vAlign w:val="center"/>
          </w:tcPr>
          <w:p w14:paraId="0078080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支付专项债券本金</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7AF3EED">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2375AB">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602499">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2DF0113">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098E52">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9EC8F1">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C5D60DE">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0455B1">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2C8801">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D25D01">
            <w:pPr>
              <w:keepNext w:val="0"/>
              <w:keepLines w:val="0"/>
              <w:pageBreakBefore w:val="0"/>
              <w:widowControl/>
              <w:kinsoku/>
              <w:wordWrap/>
              <w:overflowPunct/>
              <w:topLinePunct w:val="0"/>
              <w:autoSpaceDE/>
              <w:autoSpaceDN/>
              <w:bidi w:val="0"/>
              <w:adjustRightInd/>
              <w:snapToGrid/>
              <w:spacing w:line="240" w:lineRule="atLeast"/>
              <w:ind w:firstLine="0" w:firstLineChars="0"/>
              <w:rPr>
                <w:rFonts w:hint="eastAsia" w:ascii="宋体" w:hAnsi="宋体" w:eastAsia="宋体" w:cs="宋体"/>
                <w:i w:val="0"/>
                <w:iCs w:val="0"/>
                <w:color w:val="000000"/>
                <w:sz w:val="18"/>
                <w:szCs w:val="18"/>
                <w:u w:val="none"/>
              </w:rPr>
            </w:pP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72E52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3,000.00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6DD26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5,500.00 </w:t>
            </w:r>
          </w:p>
        </w:tc>
      </w:tr>
      <w:tr w14:paraId="52B6AB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FC773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四</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8792A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left"/>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现金流量总计</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96771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11,776.88 </w:t>
            </w: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E77A1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12,586.70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3AB53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13,396.52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ED3D1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14,206.34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493BC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15,046.69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9DA17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15,887.03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6F06E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16,727.38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3A79E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17,599.13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A82162">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18,470.89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9F664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19,342.64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32BE4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14,246.77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864FE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 xml:space="preserve">4,258.28 </w:t>
            </w:r>
          </w:p>
        </w:tc>
      </w:tr>
      <w:tr w14:paraId="18223D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8C0E44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1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1A7AB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项目期的期初资金</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CA51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5,498.34 </w:t>
            </w: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72B77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5,888.44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DD523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6,293.35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A5E9E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6,698.26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1A332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7,103.17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5D91BE">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7,523.34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048CBE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7,943.52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4D668B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8,363.69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32A563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8,799.57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28DEC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9,235.44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9C312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9,671.32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12ED7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7,123.38 </w:t>
            </w:r>
          </w:p>
        </w:tc>
      </w:tr>
      <w:tr w14:paraId="388110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1852B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D7A9C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项目期内现金变动（一+二+三）</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E5826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390.10 </w:t>
            </w: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1ED19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404.91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3085A3">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404.91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0E9E7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404.91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0AC42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420.17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0C0CE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420.17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C09AB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420.17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F335E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435.88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F7350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435.88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A1F835">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435.88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151E9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-2,547.94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5C50A9">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-4,994.24 </w:t>
            </w:r>
          </w:p>
        </w:tc>
      </w:tr>
      <w:tr w14:paraId="1DED6A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17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24E7D0">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3 </w:t>
            </w:r>
          </w:p>
        </w:tc>
        <w:tc>
          <w:tcPr>
            <w:tcW w:w="81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FF512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项目期的期末资金</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85BAF8">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5,888.44 </w:t>
            </w:r>
          </w:p>
        </w:tc>
        <w:tc>
          <w:tcPr>
            <w:tcW w:w="3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15FDCD">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6,293.35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750A9F">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6,698.26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38EF76">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7,103.17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F584BC">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7,523.34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07C374">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7,943.52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B2B1B7">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8,363.69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B4D48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8,799.57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7CE5F9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9,235.44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E5A8EAB">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9,671.32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9C84DA">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7,123.38 </w:t>
            </w:r>
          </w:p>
        </w:tc>
        <w:tc>
          <w:tcPr>
            <w:tcW w:w="33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51C601">
            <w:pPr>
              <w:keepNext w:val="0"/>
              <w:keepLines w:val="0"/>
              <w:pageBreakBefore w:val="0"/>
              <w:widowControl/>
              <w:suppressLineNumbers w:val="0"/>
              <w:kinsoku/>
              <w:wordWrap/>
              <w:overflowPunct/>
              <w:topLinePunct w:val="0"/>
              <w:autoSpaceDE/>
              <w:autoSpaceDN/>
              <w:bidi w:val="0"/>
              <w:adjustRightInd/>
              <w:snapToGrid/>
              <w:spacing w:line="240" w:lineRule="atLeast"/>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2,129.14 </w:t>
            </w:r>
          </w:p>
        </w:tc>
      </w:tr>
    </w:tbl>
    <w:p w14:paraId="5D550277">
      <w:pPr>
        <w:widowControl/>
        <w:adjustRightInd w:val="0"/>
        <w:snapToGrid w:val="0"/>
        <w:spacing w:after="217" w:afterLines="50" w:line="560" w:lineRule="exact"/>
        <w:ind w:firstLine="643" w:firstLineChars="200"/>
        <w:jc w:val="center"/>
        <w:rPr>
          <w:rFonts w:hint="default" w:ascii="仿宋_GB2312" w:hAnsi="华文楷体" w:eastAsia="仿宋_GB2312" w:cs="Times New Roman"/>
          <w:b/>
          <w:bCs/>
          <w:sz w:val="32"/>
          <w:szCs w:val="32"/>
          <w:lang w:val="en-US" w:eastAsia="zh-CN"/>
        </w:rPr>
        <w:sectPr>
          <w:pgSz w:w="16838" w:h="11906" w:orient="landscape"/>
          <w:pgMar w:top="720" w:right="720" w:bottom="720" w:left="720" w:header="851" w:footer="992" w:gutter="0"/>
          <w:pgNumType w:fmt="numberInDash"/>
          <w:cols w:space="720" w:num="1"/>
          <w:docGrid w:type="lines" w:linePitch="435" w:charSpace="0"/>
        </w:sectPr>
      </w:pPr>
    </w:p>
    <w:p w14:paraId="003C8481">
      <w:pPr>
        <w:spacing w:line="560" w:lineRule="exact"/>
        <w:ind w:firstLine="640" w:firstLineChars="200"/>
        <w:rPr>
          <w:rFonts w:hint="eastAsia" w:ascii="黑体" w:hAnsi="黑体" w:eastAsia="黑体"/>
          <w:sz w:val="32"/>
          <w:szCs w:val="32"/>
        </w:rPr>
      </w:pPr>
      <w:r>
        <w:rPr>
          <w:rFonts w:hint="eastAsia" w:ascii="黑体" w:hAnsi="黑体" w:eastAsia="黑体"/>
          <w:sz w:val="32"/>
          <w:szCs w:val="32"/>
        </w:rPr>
        <w:t>五、项目绩效目标</w:t>
      </w:r>
    </w:p>
    <w:p w14:paraId="2D30A7BC">
      <w:pPr>
        <w:widowControl/>
        <w:adjustRightInd w:val="0"/>
        <w:snapToGrid w:val="0"/>
        <w:spacing w:after="217" w:afterLines="50" w:line="560" w:lineRule="exact"/>
        <w:ind w:firstLine="640" w:firstLineChars="200"/>
        <w:rPr>
          <w:rFonts w:hint="eastAsia" w:ascii="仿宋_GB2312" w:hAnsi="华文楷体" w:eastAsia="仿宋_GB2312" w:cs="Times New Roman"/>
          <w:sz w:val="32"/>
          <w:szCs w:val="32"/>
          <w:lang w:val="en-US" w:eastAsia="zh-CN"/>
        </w:rPr>
      </w:pPr>
      <w:r>
        <w:rPr>
          <w:rFonts w:hint="eastAsia" w:ascii="仿宋_GB2312" w:hAnsi="华文楷体" w:eastAsia="仿宋_GB2312" w:cs="Times New Roman"/>
          <w:sz w:val="32"/>
          <w:szCs w:val="32"/>
          <w:lang w:val="en-US" w:eastAsia="zh-CN"/>
        </w:rPr>
        <w:t>目标1：建设日光温室74座、总面积为107400平方米；</w:t>
      </w:r>
    </w:p>
    <w:p w14:paraId="49D21F54">
      <w:pPr>
        <w:widowControl/>
        <w:adjustRightInd w:val="0"/>
        <w:snapToGrid w:val="0"/>
        <w:spacing w:after="217" w:afterLines="50" w:line="560" w:lineRule="exact"/>
        <w:ind w:firstLine="640" w:firstLineChars="200"/>
        <w:rPr>
          <w:rFonts w:hint="eastAsia" w:ascii="仿宋_GB2312" w:hAnsi="华文楷体" w:eastAsia="仿宋_GB2312" w:cs="Times New Roman"/>
          <w:sz w:val="32"/>
          <w:szCs w:val="32"/>
          <w:lang w:val="en-US" w:eastAsia="zh-CN"/>
        </w:rPr>
      </w:pPr>
      <w:r>
        <w:rPr>
          <w:rFonts w:hint="eastAsia" w:ascii="仿宋_GB2312" w:hAnsi="华文楷体" w:eastAsia="仿宋_GB2312" w:cs="Times New Roman"/>
          <w:sz w:val="32"/>
          <w:szCs w:val="32"/>
          <w:lang w:val="en-US" w:eastAsia="zh-CN"/>
        </w:rPr>
        <w:t>目标2：新建连栋温室8座，总面积为32800平方米；</w:t>
      </w:r>
    </w:p>
    <w:p w14:paraId="4FDB9CBA">
      <w:pPr>
        <w:widowControl/>
        <w:adjustRightInd w:val="0"/>
        <w:snapToGrid w:val="0"/>
        <w:spacing w:after="217" w:afterLines="50" w:line="560" w:lineRule="exact"/>
        <w:ind w:firstLine="640" w:firstLineChars="200"/>
        <w:rPr>
          <w:rFonts w:hint="eastAsia" w:ascii="仿宋_GB2312" w:hAnsi="华文楷体" w:eastAsia="仿宋_GB2312" w:cs="Times New Roman"/>
          <w:sz w:val="32"/>
          <w:szCs w:val="32"/>
          <w:lang w:val="en-US" w:eastAsia="zh-CN"/>
        </w:rPr>
      </w:pPr>
      <w:r>
        <w:rPr>
          <w:rFonts w:hint="eastAsia" w:ascii="仿宋_GB2312" w:hAnsi="华文楷体" w:eastAsia="仿宋_GB2312" w:cs="Times New Roman"/>
          <w:sz w:val="32"/>
          <w:szCs w:val="32"/>
          <w:lang w:val="en-US" w:eastAsia="zh-CN"/>
        </w:rPr>
        <w:t>目标3：配套建设给水排水、电气工程，总平工程等基础设施</w:t>
      </w:r>
    </w:p>
    <w:p w14:paraId="17D345C0">
      <w:pPr>
        <w:spacing w:before="240" w:after="120" w:line="560" w:lineRule="exact"/>
        <w:ind w:firstLine="640" w:firstLineChars="200"/>
        <w:rPr>
          <w:rFonts w:hint="eastAsia" w:ascii="仿宋_GB2312" w:hAnsi="仿宋" w:eastAsia="仿宋_GB2312"/>
          <w:sz w:val="32"/>
          <w:szCs w:val="32"/>
        </w:rPr>
      </w:pPr>
      <w:r>
        <w:rPr>
          <w:rFonts w:hint="eastAsia" w:ascii="黑体" w:hAnsi="黑体" w:eastAsia="黑体"/>
          <w:sz w:val="32"/>
          <w:szCs w:val="32"/>
        </w:rPr>
        <w:t>六、潜在影响项目的风险评估</w:t>
      </w:r>
    </w:p>
    <w:p w14:paraId="367F765E">
      <w:pPr>
        <w:widowControl/>
        <w:adjustRightInd w:val="0"/>
        <w:snapToGrid w:val="0"/>
        <w:spacing w:after="217" w:afterLines="50" w:line="560" w:lineRule="exact"/>
        <w:ind w:firstLine="643" w:firstLineChars="200"/>
        <w:rPr>
          <w:rFonts w:hint="default" w:ascii="仿宋_GB2312" w:hAnsi="华文楷体" w:eastAsia="仿宋_GB2312" w:cs="Times New Roman"/>
          <w:b/>
          <w:bCs/>
          <w:sz w:val="32"/>
          <w:szCs w:val="32"/>
          <w:lang w:val="en-GB"/>
        </w:rPr>
      </w:pPr>
      <w:bookmarkStart w:id="46" w:name="_Toc19897"/>
      <w:bookmarkStart w:id="47" w:name="_Toc25520"/>
      <w:bookmarkStart w:id="48" w:name="_Toc3506"/>
      <w:bookmarkStart w:id="49" w:name="_Toc616"/>
      <w:bookmarkStart w:id="50" w:name="_Toc520"/>
      <w:bookmarkStart w:id="51" w:name="_Toc8956"/>
      <w:bookmarkStart w:id="52" w:name="_Toc21854"/>
      <w:bookmarkStart w:id="53" w:name="_Toc8296"/>
      <w:bookmarkStart w:id="54" w:name="_Toc17383"/>
      <w:bookmarkStart w:id="55" w:name="_Toc14011"/>
      <w:bookmarkStart w:id="56" w:name="_Toc17130"/>
      <w:bookmarkStart w:id="57" w:name="_Toc18349"/>
      <w:bookmarkStart w:id="58" w:name="_Toc4985"/>
      <w:bookmarkStart w:id="59" w:name="_Toc12232"/>
      <w:bookmarkStart w:id="60" w:name="_Toc26050"/>
      <w:bookmarkStart w:id="61" w:name="_Toc15283"/>
      <w:r>
        <w:rPr>
          <w:rFonts w:hint="eastAsia" w:ascii="仿宋_GB2312" w:hAnsi="华文楷体" w:eastAsia="仿宋_GB2312" w:cs="Times New Roman"/>
          <w:b/>
          <w:bCs/>
          <w:sz w:val="32"/>
          <w:szCs w:val="32"/>
          <w:lang w:val="en-GB" w:eastAsia="zh-CN"/>
        </w:rPr>
        <w:t>（</w:t>
      </w:r>
      <w:r>
        <w:rPr>
          <w:rFonts w:hint="eastAsia" w:ascii="仿宋_GB2312" w:hAnsi="华文楷体" w:eastAsia="仿宋_GB2312" w:cs="Times New Roman"/>
          <w:b/>
          <w:bCs/>
          <w:sz w:val="32"/>
          <w:szCs w:val="32"/>
          <w:lang w:val="en-US" w:eastAsia="zh-CN"/>
        </w:rPr>
        <w:t>一）</w:t>
      </w:r>
      <w:r>
        <w:rPr>
          <w:rFonts w:hint="default" w:ascii="仿宋_GB2312" w:hAnsi="华文楷体" w:eastAsia="仿宋_GB2312" w:cs="Times New Roman"/>
          <w:b/>
          <w:bCs/>
          <w:sz w:val="32"/>
          <w:szCs w:val="32"/>
          <w:lang w:val="en-GB"/>
        </w:rPr>
        <w:t>影响项目施工进度或正常运营的风险及控制措施</w:t>
      </w:r>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
    <w:p w14:paraId="097FE444">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US" w:eastAsia="zh-CN"/>
        </w:rPr>
      </w:pPr>
      <w:bookmarkStart w:id="62" w:name="_Toc4820"/>
      <w:bookmarkStart w:id="63" w:name="_Toc3992"/>
      <w:bookmarkStart w:id="64" w:name="_Toc9058"/>
      <w:bookmarkStart w:id="65" w:name="_Toc10395"/>
      <w:bookmarkStart w:id="66" w:name="_Toc21359"/>
      <w:bookmarkStart w:id="67" w:name="_Toc9746"/>
      <w:bookmarkStart w:id="68" w:name="_Toc3445"/>
      <w:bookmarkStart w:id="69" w:name="_Toc2419"/>
      <w:bookmarkStart w:id="70" w:name="_Toc7832"/>
      <w:bookmarkStart w:id="71" w:name="_Toc2862"/>
      <w:bookmarkStart w:id="72" w:name="_Toc3866"/>
      <w:bookmarkStart w:id="73" w:name="_Toc24673"/>
      <w:bookmarkStart w:id="74" w:name="_Toc31753"/>
      <w:bookmarkStart w:id="75" w:name="_Toc11882"/>
      <w:r>
        <w:rPr>
          <w:rFonts w:hint="eastAsia" w:ascii="仿宋_GB2312" w:hAnsi="华文楷体" w:eastAsia="仿宋_GB2312" w:cs="Times New Roman"/>
          <w:sz w:val="32"/>
          <w:szCs w:val="32"/>
          <w:lang w:val="en-US" w:eastAsia="zh-CN"/>
        </w:rPr>
        <w:t>1.</w:t>
      </w:r>
      <w:r>
        <w:rPr>
          <w:rFonts w:hint="default" w:ascii="仿宋_GB2312" w:hAnsi="华文楷体" w:eastAsia="仿宋_GB2312" w:cs="Times New Roman"/>
          <w:sz w:val="32"/>
          <w:szCs w:val="32"/>
          <w:lang w:val="en-US" w:eastAsia="zh-CN"/>
        </w:rPr>
        <w:t>自然环境和施工条件</w:t>
      </w:r>
      <w:bookmarkEnd w:id="62"/>
      <w:bookmarkEnd w:id="63"/>
      <w:bookmarkEnd w:id="64"/>
      <w:bookmarkEnd w:id="65"/>
      <w:bookmarkEnd w:id="66"/>
      <w:bookmarkEnd w:id="67"/>
      <w:bookmarkEnd w:id="68"/>
      <w:bookmarkEnd w:id="69"/>
      <w:bookmarkEnd w:id="70"/>
      <w:bookmarkEnd w:id="71"/>
      <w:bookmarkEnd w:id="72"/>
      <w:bookmarkEnd w:id="73"/>
      <w:bookmarkEnd w:id="74"/>
      <w:bookmarkEnd w:id="75"/>
      <w:r>
        <w:rPr>
          <w:rFonts w:hint="default" w:ascii="仿宋_GB2312" w:hAnsi="华文楷体" w:eastAsia="仿宋_GB2312" w:cs="Times New Roman"/>
          <w:sz w:val="32"/>
          <w:szCs w:val="32"/>
          <w:lang w:val="en-US" w:eastAsia="zh-CN"/>
        </w:rPr>
        <w:tab/>
      </w:r>
      <w:r>
        <w:rPr>
          <w:rFonts w:hint="default" w:ascii="仿宋_GB2312" w:hAnsi="华文楷体" w:eastAsia="仿宋_GB2312" w:cs="Times New Roman"/>
          <w:sz w:val="32"/>
          <w:szCs w:val="32"/>
          <w:lang w:val="en-US" w:eastAsia="zh-CN"/>
        </w:rPr>
        <w:tab/>
      </w:r>
    </w:p>
    <w:p w14:paraId="0CFE4ABF">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风险识别：自然环境和施工条件风险主要是指恶劣的自然条件，恶劣的气候和环境，恶劣的现场条件以及不利的地理环境等。</w:t>
      </w:r>
    </w:p>
    <w:p w14:paraId="370B622E">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控制措施：由自然环境和施工条件造成的风险最好的控制措施是通过购买保险等方式进行风险转移，风险转移是向保险公司投保，将项目部分风险损失转移给保险公司承担，本项目在建设期按照国家规定强制购买工程一</w:t>
      </w:r>
      <w:r>
        <w:rPr>
          <w:rFonts w:hint="eastAsia" w:ascii="仿宋_GB2312" w:hAnsi="华文楷体" w:eastAsia="仿宋_GB2312" w:cs="Times New Roman"/>
          <w:sz w:val="32"/>
          <w:szCs w:val="32"/>
          <w:lang w:val="en-GB" w:eastAsia="zh-CN"/>
        </w:rPr>
        <w:t>切保</w:t>
      </w:r>
      <w:r>
        <w:rPr>
          <w:rFonts w:hint="default" w:ascii="仿宋_GB2312" w:hAnsi="华文楷体" w:eastAsia="仿宋_GB2312" w:cs="Times New Roman"/>
          <w:sz w:val="32"/>
          <w:szCs w:val="32"/>
          <w:lang w:val="en-GB"/>
        </w:rPr>
        <w:t>险，本项目保险费已按规定计入项目总投资</w:t>
      </w:r>
      <w:r>
        <w:rPr>
          <w:rFonts w:hint="default" w:ascii="仿宋_GB2312" w:hAnsi="华文楷体" w:eastAsia="仿宋_GB2312" w:cs="Times New Roman"/>
          <w:sz w:val="32"/>
          <w:szCs w:val="32"/>
          <w:lang w:val="en-GB" w:eastAsia="zh-CN"/>
        </w:rPr>
        <w:t>其他</w:t>
      </w:r>
      <w:r>
        <w:rPr>
          <w:rFonts w:hint="default" w:ascii="仿宋_GB2312" w:hAnsi="华文楷体" w:eastAsia="仿宋_GB2312" w:cs="Times New Roman"/>
          <w:sz w:val="32"/>
          <w:szCs w:val="32"/>
          <w:lang w:val="en-GB"/>
        </w:rPr>
        <w:t>建设费用类。</w:t>
      </w:r>
    </w:p>
    <w:p w14:paraId="38543558">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US" w:eastAsia="zh-CN"/>
        </w:rPr>
      </w:pPr>
      <w:bookmarkStart w:id="76" w:name="_Toc26815"/>
      <w:bookmarkStart w:id="77" w:name="_Toc11824"/>
      <w:bookmarkStart w:id="78" w:name="_Toc21338"/>
      <w:bookmarkStart w:id="79" w:name="_Toc5970"/>
      <w:bookmarkStart w:id="80" w:name="_Toc18165"/>
      <w:bookmarkStart w:id="81" w:name="_Toc16343"/>
      <w:bookmarkStart w:id="82" w:name="_Toc9984"/>
      <w:bookmarkStart w:id="83" w:name="_Toc5865"/>
      <w:bookmarkStart w:id="84" w:name="_Toc18245"/>
      <w:bookmarkStart w:id="85" w:name="_Toc32572"/>
      <w:bookmarkStart w:id="86" w:name="_Toc12156"/>
      <w:bookmarkStart w:id="87" w:name="_Toc11746"/>
      <w:bookmarkStart w:id="88" w:name="_Toc1905"/>
      <w:bookmarkStart w:id="89" w:name="_Toc18014"/>
      <w:r>
        <w:rPr>
          <w:rFonts w:hint="eastAsia" w:ascii="仿宋_GB2312" w:hAnsi="华文楷体" w:eastAsia="仿宋_GB2312" w:cs="Times New Roman"/>
          <w:sz w:val="32"/>
          <w:szCs w:val="32"/>
          <w:lang w:val="en-US" w:eastAsia="zh-CN"/>
        </w:rPr>
        <w:t>2.</w:t>
      </w:r>
      <w:r>
        <w:rPr>
          <w:rFonts w:hint="default" w:ascii="仿宋_GB2312" w:hAnsi="华文楷体" w:eastAsia="仿宋_GB2312" w:cs="Times New Roman"/>
          <w:sz w:val="32"/>
          <w:szCs w:val="32"/>
          <w:lang w:val="en-US" w:eastAsia="zh-CN"/>
        </w:rPr>
        <w:t>来源于施工方的风险因素</w:t>
      </w:r>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458C68C0">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风险识别：施工方的风险因素主要由施工技术不当、管理方案不完善导致。管理者及工程人员的水平和工作态度的影响；</w:t>
      </w:r>
    </w:p>
    <w:p w14:paraId="37C78166">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风险控制措施：在招标和工程实施中应确保相关人员的素质和水平，特别是设计负责人和专业负责人、总监理工程师、施工项目经理、业主代表及各类管理人员。</w:t>
      </w:r>
      <w:bookmarkStart w:id="90" w:name="_Toc15683"/>
    </w:p>
    <w:p w14:paraId="46B3440A">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US" w:eastAsia="zh-CN"/>
        </w:rPr>
      </w:pPr>
      <w:bookmarkStart w:id="91" w:name="_Toc27973"/>
      <w:bookmarkStart w:id="92" w:name="_Toc15927"/>
      <w:bookmarkStart w:id="93" w:name="_Toc13348"/>
      <w:bookmarkStart w:id="94" w:name="_Toc23759"/>
      <w:bookmarkStart w:id="95" w:name="_Toc30820"/>
      <w:bookmarkStart w:id="96" w:name="_Toc5038"/>
      <w:bookmarkStart w:id="97" w:name="_Toc1125"/>
      <w:bookmarkStart w:id="98" w:name="_Toc10222"/>
      <w:bookmarkStart w:id="99" w:name="_Toc23053"/>
      <w:bookmarkStart w:id="100" w:name="_Toc8186"/>
      <w:bookmarkStart w:id="101" w:name="_Toc31663"/>
      <w:bookmarkStart w:id="102" w:name="_Toc25857"/>
      <w:bookmarkStart w:id="103" w:name="_Toc24080"/>
      <w:r>
        <w:rPr>
          <w:rFonts w:hint="eastAsia" w:ascii="仿宋_GB2312" w:hAnsi="华文楷体" w:eastAsia="仿宋_GB2312" w:cs="Times New Roman"/>
          <w:sz w:val="32"/>
          <w:szCs w:val="32"/>
          <w:lang w:val="en-US" w:eastAsia="zh-CN"/>
        </w:rPr>
        <w:t>3.</w:t>
      </w:r>
      <w:r>
        <w:rPr>
          <w:rFonts w:hint="default" w:ascii="仿宋_GB2312" w:hAnsi="华文楷体" w:eastAsia="仿宋_GB2312" w:cs="Times New Roman"/>
          <w:sz w:val="32"/>
          <w:szCs w:val="32"/>
          <w:lang w:val="en-US" w:eastAsia="zh-CN"/>
        </w:rPr>
        <w:t>来源于设计单位的风险因素</w:t>
      </w:r>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15B89B61">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识别：设计风险主要体现在设计质量、设计变更两个方面。设计质量风险，因设计单位水平不足，导致项目设计不合理，技术方案表达不充分，质量达不到国家相关规范标准要求，或评审、验证不够充分，导致设计缺陷；设计变更会影响施工安排，会导致施工进度延误，造成承包人工期</w:t>
      </w:r>
      <w:r>
        <w:rPr>
          <w:rFonts w:hint="default" w:ascii="仿宋_GB2312" w:hAnsi="华文楷体" w:eastAsia="仿宋_GB2312" w:cs="Times New Roman"/>
          <w:sz w:val="32"/>
          <w:szCs w:val="32"/>
          <w:lang w:val="en-GB" w:eastAsia="zh-CN"/>
        </w:rPr>
        <w:t>拖延</w:t>
      </w:r>
      <w:r>
        <w:rPr>
          <w:rFonts w:hint="default" w:ascii="仿宋_GB2312" w:hAnsi="华文楷体" w:eastAsia="仿宋_GB2312" w:cs="Times New Roman"/>
          <w:sz w:val="32"/>
          <w:szCs w:val="32"/>
          <w:lang w:val="en-GB"/>
        </w:rPr>
        <w:t>和经济损失。</w:t>
      </w:r>
    </w:p>
    <w:p w14:paraId="7F2B0EC1">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风险控制措施：应拟订规划设计大纲，明确设计质量标准。在设计阶段，设计单位</w:t>
      </w:r>
      <w:r>
        <w:rPr>
          <w:rFonts w:hint="default" w:ascii="仿宋_GB2312" w:hAnsi="华文楷体" w:eastAsia="仿宋_GB2312" w:cs="Times New Roman"/>
          <w:sz w:val="32"/>
          <w:szCs w:val="32"/>
          <w:lang w:val="en-GB" w:eastAsia="zh-CN"/>
        </w:rPr>
        <w:t>应</w:t>
      </w:r>
      <w:r>
        <w:rPr>
          <w:rFonts w:hint="default" w:ascii="仿宋_GB2312" w:hAnsi="华文楷体" w:eastAsia="仿宋_GB2312" w:cs="Times New Roman"/>
          <w:sz w:val="32"/>
          <w:szCs w:val="32"/>
          <w:lang w:val="en-GB"/>
        </w:rPr>
        <w:t>充分了解项目情况，勘察仔细，因地制宜，评估到位，设计合理、规范满足国家规范、标准，评审环节充分验证、符合仔细，保证设计质量。阶段设计完成后，应进行全面审核，内容包括计划投资、方案比选、文件规范、结构安全、工艺先进性、技术合理性、施工可行性。提交施工图后及时报送进行施工图审查、设计交底和图纸会审。</w:t>
      </w:r>
    </w:p>
    <w:p w14:paraId="0445B4C4">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US" w:eastAsia="zh-CN"/>
        </w:rPr>
      </w:pPr>
      <w:bookmarkStart w:id="104" w:name="_Toc28412"/>
      <w:bookmarkStart w:id="105" w:name="_Toc18696"/>
      <w:bookmarkStart w:id="106" w:name="_Toc15206"/>
      <w:bookmarkStart w:id="107" w:name="_Toc16327"/>
      <w:bookmarkStart w:id="108" w:name="_Toc19703"/>
      <w:bookmarkStart w:id="109" w:name="_Toc21884"/>
      <w:bookmarkStart w:id="110" w:name="_Toc7326"/>
      <w:bookmarkStart w:id="111" w:name="_Toc14027"/>
      <w:bookmarkStart w:id="112" w:name="_Toc20970"/>
      <w:bookmarkStart w:id="113" w:name="_Toc9429"/>
      <w:bookmarkStart w:id="114" w:name="_Toc760"/>
      <w:bookmarkStart w:id="115" w:name="_Toc9875"/>
      <w:bookmarkStart w:id="116" w:name="_Toc14949"/>
      <w:bookmarkStart w:id="117" w:name="_Toc196"/>
      <w:r>
        <w:rPr>
          <w:rFonts w:hint="eastAsia" w:ascii="仿宋_GB2312" w:hAnsi="华文楷体" w:eastAsia="仿宋_GB2312" w:cs="Times New Roman"/>
          <w:sz w:val="32"/>
          <w:szCs w:val="32"/>
          <w:lang w:val="en-US" w:eastAsia="zh-CN"/>
        </w:rPr>
        <w:t>3.</w:t>
      </w:r>
      <w:r>
        <w:rPr>
          <w:rFonts w:hint="default" w:ascii="仿宋_GB2312" w:hAnsi="华文楷体" w:eastAsia="仿宋_GB2312" w:cs="Times New Roman"/>
          <w:sz w:val="32"/>
          <w:szCs w:val="32"/>
          <w:lang w:val="en-US" w:eastAsia="zh-CN"/>
        </w:rPr>
        <w:t>来源于供应商的风险因素</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p>
    <w:p w14:paraId="4DB330AA">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风险识别：来源于供应商的风险因素包括选择供应商不当，供应商</w:t>
      </w:r>
      <w:r>
        <w:rPr>
          <w:rFonts w:hint="default" w:ascii="仿宋_GB2312" w:hAnsi="华文楷体" w:eastAsia="仿宋_GB2312" w:cs="Times New Roman"/>
          <w:sz w:val="32"/>
          <w:szCs w:val="32"/>
          <w:lang w:val="en-GB" w:eastAsia="zh-CN"/>
        </w:rPr>
        <w:t>承担</w:t>
      </w:r>
      <w:r>
        <w:rPr>
          <w:rFonts w:hint="default" w:ascii="仿宋_GB2312" w:hAnsi="华文楷体" w:eastAsia="仿宋_GB2312" w:cs="Times New Roman"/>
          <w:sz w:val="32"/>
          <w:szCs w:val="32"/>
          <w:lang w:val="en-GB"/>
        </w:rPr>
        <w:t>风险的能力较低，劳动力市场、材料市场、设备市场等，这些市场价格的变化，特别是价格的上涨。造成供应商违约，不能按质按量按期完成分包工程，从而影响整个工程的进度或发生经济损失；</w:t>
      </w:r>
    </w:p>
    <w:p w14:paraId="73800806">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风险控制措施：项目在选择供应商时，应选择信誉好、实力强、</w:t>
      </w:r>
      <w:r>
        <w:rPr>
          <w:rFonts w:hint="default" w:ascii="仿宋_GB2312" w:hAnsi="华文楷体" w:eastAsia="仿宋_GB2312" w:cs="Times New Roman"/>
          <w:sz w:val="32"/>
          <w:szCs w:val="32"/>
          <w:lang w:val="en-GB" w:eastAsia="zh-CN"/>
        </w:rPr>
        <w:t>承担</w:t>
      </w:r>
      <w:r>
        <w:rPr>
          <w:rFonts w:hint="default" w:ascii="仿宋_GB2312" w:hAnsi="华文楷体" w:eastAsia="仿宋_GB2312" w:cs="Times New Roman"/>
          <w:sz w:val="32"/>
          <w:szCs w:val="32"/>
          <w:lang w:val="en-GB"/>
        </w:rPr>
        <w:t>风险</w:t>
      </w:r>
      <w:r>
        <w:rPr>
          <w:rFonts w:hint="default" w:ascii="仿宋_GB2312" w:hAnsi="华文楷体" w:eastAsia="仿宋_GB2312" w:cs="Times New Roman"/>
          <w:sz w:val="32"/>
          <w:szCs w:val="32"/>
          <w:lang w:val="en-GB" w:eastAsia="zh-CN"/>
        </w:rPr>
        <w:t>能力较强</w:t>
      </w:r>
      <w:r>
        <w:rPr>
          <w:rFonts w:hint="default" w:ascii="仿宋_GB2312" w:hAnsi="华文楷体" w:eastAsia="仿宋_GB2312" w:cs="Times New Roman"/>
          <w:sz w:val="32"/>
          <w:szCs w:val="32"/>
          <w:lang w:val="en-GB"/>
        </w:rPr>
        <w:t>的供应商，或设置合理的调价机制，对</w:t>
      </w:r>
      <w:r>
        <w:rPr>
          <w:rFonts w:hint="default" w:ascii="仿宋_GB2312" w:hAnsi="华文楷体" w:eastAsia="仿宋_GB2312" w:cs="Times New Roman"/>
          <w:sz w:val="32"/>
          <w:szCs w:val="32"/>
          <w:lang w:val="en-GB" w:eastAsia="zh-CN"/>
        </w:rPr>
        <w:t>价格上涨</w:t>
      </w:r>
      <w:r>
        <w:rPr>
          <w:rFonts w:hint="default" w:ascii="仿宋_GB2312" w:hAnsi="华文楷体" w:eastAsia="仿宋_GB2312" w:cs="Times New Roman"/>
          <w:sz w:val="32"/>
          <w:szCs w:val="32"/>
          <w:lang w:val="en-GB"/>
        </w:rPr>
        <w:t>情况进行一定的调价约定，降低供应商违约风险。同时可以通过收取履约保证金的方式，降低违约风险。</w:t>
      </w:r>
    </w:p>
    <w:p w14:paraId="13FB09F4">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US" w:eastAsia="zh-CN"/>
        </w:rPr>
      </w:pPr>
      <w:bookmarkStart w:id="118" w:name="_Toc17542"/>
      <w:bookmarkStart w:id="119" w:name="_Toc27138"/>
      <w:bookmarkStart w:id="120" w:name="_Toc9163"/>
      <w:bookmarkStart w:id="121" w:name="_Toc10505"/>
      <w:bookmarkStart w:id="122" w:name="_Toc7315"/>
      <w:bookmarkStart w:id="123" w:name="_Toc1643"/>
      <w:bookmarkStart w:id="124" w:name="_Toc2459"/>
      <w:bookmarkStart w:id="125" w:name="_Toc21016"/>
      <w:bookmarkStart w:id="126" w:name="_Toc24486"/>
      <w:bookmarkStart w:id="127" w:name="_Toc30730"/>
      <w:bookmarkStart w:id="128" w:name="_Toc19225"/>
      <w:bookmarkStart w:id="129" w:name="_Toc25375"/>
      <w:bookmarkStart w:id="130" w:name="_Toc11686"/>
      <w:bookmarkStart w:id="131" w:name="_Toc5349"/>
      <w:r>
        <w:rPr>
          <w:rFonts w:hint="eastAsia" w:ascii="仿宋_GB2312" w:hAnsi="华文楷体" w:eastAsia="仿宋_GB2312" w:cs="Times New Roman"/>
          <w:sz w:val="32"/>
          <w:szCs w:val="32"/>
          <w:lang w:val="en-US" w:eastAsia="zh-CN"/>
        </w:rPr>
        <w:t>4.</w:t>
      </w:r>
      <w:r>
        <w:rPr>
          <w:rFonts w:hint="default" w:ascii="仿宋_GB2312" w:hAnsi="华文楷体" w:eastAsia="仿宋_GB2312" w:cs="Times New Roman"/>
          <w:sz w:val="32"/>
          <w:szCs w:val="32"/>
          <w:lang w:val="en-US" w:eastAsia="zh-CN"/>
        </w:rPr>
        <w:t>资金落实情况</w:t>
      </w:r>
      <w:bookmarkEnd w:id="118"/>
      <w:bookmarkEnd w:id="119"/>
      <w:bookmarkEnd w:id="120"/>
      <w:bookmarkEnd w:id="121"/>
      <w:bookmarkEnd w:id="122"/>
      <w:bookmarkEnd w:id="123"/>
      <w:bookmarkEnd w:id="124"/>
      <w:bookmarkEnd w:id="125"/>
      <w:bookmarkEnd w:id="126"/>
      <w:bookmarkEnd w:id="127"/>
      <w:bookmarkEnd w:id="128"/>
      <w:r>
        <w:rPr>
          <w:rFonts w:hint="default" w:ascii="仿宋_GB2312" w:hAnsi="华文楷体" w:eastAsia="仿宋_GB2312" w:cs="Times New Roman"/>
          <w:sz w:val="32"/>
          <w:szCs w:val="32"/>
          <w:lang w:val="en-US" w:eastAsia="zh-CN"/>
        </w:rPr>
        <w:t>风险因素</w:t>
      </w:r>
      <w:bookmarkEnd w:id="129"/>
      <w:bookmarkEnd w:id="130"/>
      <w:bookmarkEnd w:id="131"/>
      <w:r>
        <w:rPr>
          <w:rFonts w:hint="default" w:ascii="仿宋_GB2312" w:hAnsi="华文楷体" w:eastAsia="仿宋_GB2312" w:cs="Times New Roman"/>
          <w:sz w:val="32"/>
          <w:szCs w:val="32"/>
          <w:lang w:val="en-US" w:eastAsia="zh-CN"/>
        </w:rPr>
        <w:tab/>
      </w:r>
    </w:p>
    <w:p w14:paraId="35EA5EFE">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风险识别：资金落实风险主要是因资金不能及时到位，导致项目建设停工或拖延；或是利率变化导致融资成本升高而形成的。</w:t>
      </w:r>
    </w:p>
    <w:p w14:paraId="6751198C">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风险控制措施：加强对项目的资金管理，落实建设资金，保证工程按期完工。</w:t>
      </w:r>
    </w:p>
    <w:p w14:paraId="55855B71">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US" w:eastAsia="zh-CN"/>
        </w:rPr>
      </w:pPr>
      <w:bookmarkStart w:id="132" w:name="_Toc28513"/>
      <w:bookmarkStart w:id="133" w:name="_Toc24723"/>
      <w:bookmarkStart w:id="134" w:name="_Toc9198"/>
      <w:bookmarkStart w:id="135" w:name="_Toc24199"/>
      <w:bookmarkStart w:id="136" w:name="_Toc31091"/>
      <w:bookmarkStart w:id="137" w:name="_Toc18803"/>
      <w:bookmarkStart w:id="138" w:name="_Toc22107"/>
      <w:bookmarkStart w:id="139" w:name="_Toc26549"/>
      <w:bookmarkStart w:id="140" w:name="_Toc29051"/>
      <w:bookmarkStart w:id="141" w:name="_Toc26212"/>
      <w:bookmarkStart w:id="142" w:name="_Toc2583"/>
      <w:bookmarkStart w:id="143" w:name="_Toc8960"/>
      <w:bookmarkStart w:id="144" w:name="_Toc10797"/>
      <w:bookmarkStart w:id="145" w:name="_Toc89"/>
      <w:r>
        <w:rPr>
          <w:rFonts w:hint="eastAsia" w:ascii="仿宋_GB2312" w:hAnsi="华文楷体" w:eastAsia="仿宋_GB2312" w:cs="Times New Roman"/>
          <w:sz w:val="32"/>
          <w:szCs w:val="32"/>
          <w:lang w:val="en-US" w:eastAsia="zh-CN"/>
        </w:rPr>
        <w:t>5.</w:t>
      </w:r>
      <w:r>
        <w:rPr>
          <w:rFonts w:hint="default" w:ascii="仿宋_GB2312" w:hAnsi="华文楷体" w:eastAsia="仿宋_GB2312" w:cs="Times New Roman"/>
          <w:sz w:val="32"/>
          <w:szCs w:val="32"/>
          <w:lang w:val="en-US" w:eastAsia="zh-CN"/>
        </w:rPr>
        <w:t>工程事故</w:t>
      </w:r>
      <w:bookmarkEnd w:id="132"/>
      <w:bookmarkEnd w:id="133"/>
      <w:bookmarkEnd w:id="134"/>
      <w:bookmarkEnd w:id="135"/>
      <w:bookmarkEnd w:id="136"/>
      <w:bookmarkEnd w:id="137"/>
      <w:bookmarkEnd w:id="138"/>
      <w:bookmarkEnd w:id="139"/>
      <w:bookmarkEnd w:id="140"/>
      <w:bookmarkEnd w:id="141"/>
      <w:bookmarkEnd w:id="142"/>
      <w:r>
        <w:rPr>
          <w:rFonts w:hint="default" w:ascii="仿宋_GB2312" w:hAnsi="华文楷体" w:eastAsia="仿宋_GB2312" w:cs="Times New Roman"/>
          <w:sz w:val="32"/>
          <w:szCs w:val="32"/>
          <w:lang w:val="en-US" w:eastAsia="zh-CN"/>
        </w:rPr>
        <w:t>风险因素</w:t>
      </w:r>
      <w:bookmarkEnd w:id="143"/>
      <w:bookmarkEnd w:id="144"/>
      <w:bookmarkEnd w:id="145"/>
    </w:p>
    <w:p w14:paraId="45013850">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风险识别：工程事故风险主要存在于施工过程中，施工中人的不安全行为、物的不安全状态、作业环境的不安全因素和管理缺陷是项目发生工程事故的主要原因，必须采取有针对性的控制措施。</w:t>
      </w:r>
    </w:p>
    <w:p w14:paraId="3D35B466">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控制措施：工程事故问题是建设工程项目的核心问题，存在较大风险。在项目前期招标过程中，选定设计、监理、施工、设备材料供应商时，应把安全和防止质量事故作为重要因素考虑。在审查相关单位设计文件、监理实施细则、施工组织设计、设备招标文件以及</w:t>
      </w:r>
      <w:r>
        <w:rPr>
          <w:rFonts w:hint="default" w:ascii="仿宋_GB2312" w:hAnsi="华文楷体" w:eastAsia="仿宋_GB2312" w:cs="Times New Roman"/>
          <w:sz w:val="32"/>
          <w:szCs w:val="32"/>
          <w:lang w:val="en-GB" w:eastAsia="zh-CN"/>
        </w:rPr>
        <w:t>签订合同时</w:t>
      </w:r>
      <w:r>
        <w:rPr>
          <w:rFonts w:hint="default" w:ascii="仿宋_GB2312" w:hAnsi="华文楷体" w:eastAsia="仿宋_GB2312" w:cs="Times New Roman"/>
          <w:sz w:val="32"/>
          <w:szCs w:val="32"/>
          <w:lang w:val="en-GB"/>
        </w:rPr>
        <w:t>都应给予足够重视。项目建设期间，必须在安全危险源识别、评估基础上，编制施工组织设计和施工方案，制定安全技术措施和施工现场临时用电方案；对危险性较大分部分项工程，编制专项安全施工方案。应派驻经验丰富的甲方代表加强该方面工作，遇到质量、安全隐患及时提出整改要求。</w:t>
      </w:r>
    </w:p>
    <w:p w14:paraId="4BE6FAD8">
      <w:pPr>
        <w:widowControl/>
        <w:adjustRightInd w:val="0"/>
        <w:snapToGrid w:val="0"/>
        <w:spacing w:after="217" w:afterLines="50" w:line="560" w:lineRule="exact"/>
        <w:ind w:firstLine="643" w:firstLineChars="200"/>
        <w:rPr>
          <w:rFonts w:hint="default" w:ascii="仿宋_GB2312" w:hAnsi="华文楷体" w:eastAsia="仿宋_GB2312" w:cs="Times New Roman"/>
          <w:b/>
          <w:bCs/>
          <w:sz w:val="32"/>
          <w:szCs w:val="32"/>
          <w:lang w:val="en-GB"/>
        </w:rPr>
      </w:pPr>
      <w:bookmarkStart w:id="146" w:name="_Toc26751"/>
      <w:bookmarkStart w:id="147" w:name="_Toc24416"/>
      <w:bookmarkStart w:id="148" w:name="_Toc31514"/>
      <w:bookmarkStart w:id="149" w:name="_Toc24376"/>
      <w:bookmarkStart w:id="150" w:name="_Toc507"/>
      <w:bookmarkStart w:id="151" w:name="_Toc8866"/>
      <w:bookmarkStart w:id="152" w:name="_Toc4136"/>
      <w:bookmarkStart w:id="153" w:name="_Toc883"/>
      <w:bookmarkStart w:id="154" w:name="_Toc3746"/>
      <w:bookmarkStart w:id="155" w:name="_Toc13984"/>
      <w:bookmarkStart w:id="156" w:name="_Toc29199"/>
      <w:bookmarkStart w:id="157" w:name="_Toc19923"/>
      <w:bookmarkStart w:id="158" w:name="_Toc19491"/>
      <w:bookmarkStart w:id="159" w:name="_Toc4683"/>
      <w:bookmarkStart w:id="160" w:name="_Toc14642"/>
      <w:bookmarkStart w:id="161" w:name="_Toc10487"/>
      <w:r>
        <w:rPr>
          <w:rFonts w:hint="eastAsia" w:ascii="仿宋_GB2312" w:hAnsi="华文楷体" w:eastAsia="仿宋_GB2312" w:cs="Times New Roman"/>
          <w:b/>
          <w:bCs/>
          <w:sz w:val="32"/>
          <w:szCs w:val="32"/>
          <w:lang w:val="en-GB" w:eastAsia="zh-CN"/>
        </w:rPr>
        <w:t>（</w:t>
      </w:r>
      <w:r>
        <w:rPr>
          <w:rFonts w:hint="eastAsia" w:ascii="仿宋_GB2312" w:hAnsi="华文楷体" w:eastAsia="仿宋_GB2312" w:cs="Times New Roman"/>
          <w:b/>
          <w:bCs/>
          <w:sz w:val="32"/>
          <w:szCs w:val="32"/>
          <w:lang w:val="en-US" w:eastAsia="zh-CN"/>
        </w:rPr>
        <w:t>二）</w:t>
      </w:r>
      <w:r>
        <w:rPr>
          <w:rFonts w:hint="default" w:ascii="仿宋_GB2312" w:hAnsi="华文楷体" w:eastAsia="仿宋_GB2312" w:cs="Times New Roman"/>
          <w:b/>
          <w:bCs/>
          <w:sz w:val="32"/>
          <w:szCs w:val="32"/>
          <w:lang w:val="en-GB"/>
        </w:rPr>
        <w:t>影响项目收益的风险及控制措施</w:t>
      </w:r>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Start w:id="162" w:name="_Toc31921"/>
      <w:bookmarkStart w:id="163" w:name="_Toc5304"/>
      <w:bookmarkStart w:id="164" w:name="_Toc28724"/>
      <w:bookmarkStart w:id="165" w:name="_Toc16822"/>
      <w:bookmarkStart w:id="166" w:name="_Toc5235"/>
      <w:bookmarkStart w:id="167" w:name="_Toc5991"/>
      <w:bookmarkStart w:id="168" w:name="_Toc14557"/>
      <w:bookmarkStart w:id="169" w:name="_Toc13900"/>
      <w:bookmarkStart w:id="170" w:name="_Toc6236"/>
      <w:bookmarkStart w:id="171" w:name="_Toc3107"/>
      <w:bookmarkStart w:id="172" w:name="_Toc21486"/>
    </w:p>
    <w:p w14:paraId="699E2F69">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US" w:eastAsia="zh-CN"/>
        </w:rPr>
      </w:pPr>
      <w:bookmarkStart w:id="173" w:name="_Toc28047"/>
      <w:bookmarkStart w:id="174" w:name="_Toc5307"/>
      <w:bookmarkStart w:id="175" w:name="_Toc25153"/>
      <w:r>
        <w:rPr>
          <w:rFonts w:hint="eastAsia" w:ascii="仿宋_GB2312" w:hAnsi="华文楷体" w:eastAsia="仿宋_GB2312" w:cs="Times New Roman"/>
          <w:sz w:val="32"/>
          <w:szCs w:val="32"/>
          <w:lang w:val="en-US" w:eastAsia="zh-CN"/>
        </w:rPr>
        <w:t>1.</w:t>
      </w:r>
      <w:r>
        <w:rPr>
          <w:rFonts w:hint="default" w:ascii="仿宋_GB2312" w:hAnsi="华文楷体" w:eastAsia="仿宋_GB2312" w:cs="Times New Roman"/>
          <w:sz w:val="32"/>
          <w:szCs w:val="32"/>
          <w:lang w:val="en-US" w:eastAsia="zh-CN"/>
        </w:rPr>
        <w:t>经营风险</w:t>
      </w:r>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p>
    <w:p w14:paraId="3F07059A">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风险识别：经营风险是指生产经营的不确定性带来的风险。若项目投入运营后相关单价及数量未能达到预测值，将影响项目整体收益，对债券还本付息产生影响。</w:t>
      </w:r>
    </w:p>
    <w:p w14:paraId="3ECF41F2">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风险控制措施：要求项目管理单位密切关注项目各项收入支撑情况，根据实际情况调整收入策略，保证还本付息资金，若项目收益不足以平衡专项债券融资本息，则以该地区政府性基金收入来弥补。</w:t>
      </w:r>
    </w:p>
    <w:p w14:paraId="0A790BE3">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US" w:eastAsia="zh-CN"/>
        </w:rPr>
      </w:pPr>
      <w:bookmarkStart w:id="176" w:name="_Toc25607"/>
      <w:bookmarkStart w:id="177" w:name="_Toc3907"/>
      <w:bookmarkStart w:id="178" w:name="_Toc26267"/>
      <w:bookmarkStart w:id="179" w:name="_Toc31100"/>
      <w:r>
        <w:rPr>
          <w:rFonts w:hint="eastAsia" w:ascii="仿宋_GB2312" w:hAnsi="华文楷体" w:eastAsia="仿宋_GB2312" w:cs="Times New Roman"/>
          <w:sz w:val="32"/>
          <w:szCs w:val="32"/>
          <w:lang w:val="en-US" w:eastAsia="zh-CN"/>
        </w:rPr>
        <w:t>2.</w:t>
      </w:r>
      <w:r>
        <w:rPr>
          <w:rFonts w:hint="default" w:ascii="仿宋_GB2312" w:hAnsi="华文楷体" w:eastAsia="仿宋_GB2312" w:cs="Times New Roman"/>
          <w:sz w:val="32"/>
          <w:szCs w:val="32"/>
          <w:lang w:val="en-US" w:eastAsia="zh-CN"/>
        </w:rPr>
        <w:t>市场风险</w:t>
      </w:r>
      <w:bookmarkEnd w:id="176"/>
      <w:bookmarkEnd w:id="177"/>
      <w:bookmarkEnd w:id="178"/>
      <w:bookmarkEnd w:id="179"/>
    </w:p>
    <w:p w14:paraId="5373C2DD">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识别：在专项债券存续期内，国际、国内宏观经济环境的变化，国家经济政策变动等因素会引起债务资本市场利率的波动，市场利率波动将会对本项目的财务成本产生一定影响，进而影响项目投资收益的平衡。</w:t>
      </w:r>
    </w:p>
    <w:p w14:paraId="35B7DD50">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风险控制措施：要求项目单位合理安排债券发行金额和债券期限，做好债券的期限配比、还款计划和资金准备。</w:t>
      </w:r>
    </w:p>
    <w:p w14:paraId="5D63C4D5">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US" w:eastAsia="zh-CN"/>
        </w:rPr>
      </w:pPr>
      <w:bookmarkStart w:id="180" w:name="_Toc26953"/>
      <w:bookmarkStart w:id="181" w:name="_Toc22794"/>
      <w:bookmarkStart w:id="182" w:name="_Toc11467"/>
      <w:bookmarkStart w:id="183" w:name="_Toc3003"/>
      <w:bookmarkStart w:id="184" w:name="_Toc8035"/>
      <w:bookmarkStart w:id="185" w:name="_Toc24182"/>
      <w:bookmarkStart w:id="186" w:name="_Toc32471"/>
      <w:bookmarkStart w:id="187" w:name="_Toc24549"/>
      <w:bookmarkStart w:id="188" w:name="_Toc28223"/>
      <w:bookmarkStart w:id="189" w:name="_Toc28630"/>
      <w:bookmarkStart w:id="190" w:name="_Toc6809"/>
      <w:bookmarkStart w:id="191" w:name="_Toc15630"/>
      <w:bookmarkStart w:id="192" w:name="_Toc21043"/>
      <w:bookmarkStart w:id="193" w:name="_Toc15492"/>
      <w:r>
        <w:rPr>
          <w:rFonts w:hint="eastAsia" w:ascii="仿宋_GB2312" w:hAnsi="华文楷体" w:eastAsia="仿宋_GB2312" w:cs="Times New Roman"/>
          <w:sz w:val="32"/>
          <w:szCs w:val="32"/>
          <w:lang w:val="en-US" w:eastAsia="zh-CN"/>
        </w:rPr>
        <w:t>3.</w:t>
      </w:r>
      <w:r>
        <w:rPr>
          <w:rFonts w:hint="default" w:ascii="仿宋_GB2312" w:hAnsi="华文楷体" w:eastAsia="仿宋_GB2312" w:cs="Times New Roman"/>
          <w:sz w:val="32"/>
          <w:szCs w:val="32"/>
          <w:lang w:val="en-US" w:eastAsia="zh-CN"/>
        </w:rPr>
        <w:t>财务风险</w:t>
      </w:r>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p>
    <w:p w14:paraId="7866EB94">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识别：由于项目建设周期较长，如果在项目建设过程中，受市场因素影响，项目施工所需的原材料价格上涨，将导致项目施工成本增加，财务负担加重，进而影响项目建设进度，以及项目建设期内专项债券的利息兑付，因此面临一定财务风险。</w:t>
      </w:r>
    </w:p>
    <w:p w14:paraId="56BC6537">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风险控制措施：项目可行性研究报告编制过程中，在测算项目总投资时已考虑相关风险。同时，在项目建设过程中，加强项目施工预算管理、招标及合同管理，尽可能控制建设成本。</w:t>
      </w:r>
    </w:p>
    <w:p w14:paraId="2A383FE6">
      <w:pPr>
        <w:widowControl/>
        <w:adjustRightInd w:val="0"/>
        <w:snapToGrid w:val="0"/>
        <w:spacing w:after="217" w:afterLines="50" w:line="560" w:lineRule="exact"/>
        <w:ind w:firstLine="643" w:firstLineChars="200"/>
        <w:rPr>
          <w:rFonts w:hint="default" w:ascii="仿宋_GB2312" w:hAnsi="华文楷体" w:eastAsia="仿宋_GB2312" w:cs="Times New Roman"/>
          <w:b/>
          <w:bCs/>
          <w:sz w:val="32"/>
          <w:szCs w:val="32"/>
          <w:lang w:val="en-GB"/>
        </w:rPr>
      </w:pPr>
      <w:bookmarkStart w:id="194" w:name="_Toc4114"/>
      <w:bookmarkStart w:id="195" w:name="_Toc22706"/>
      <w:bookmarkStart w:id="196" w:name="_Toc27326"/>
      <w:bookmarkStart w:id="197" w:name="_Toc25562"/>
      <w:bookmarkStart w:id="198" w:name="_Toc31064"/>
      <w:bookmarkStart w:id="199" w:name="_Toc2500"/>
      <w:r>
        <w:rPr>
          <w:rFonts w:hint="eastAsia" w:ascii="仿宋_GB2312" w:hAnsi="华文楷体" w:eastAsia="仿宋_GB2312" w:cs="Times New Roman"/>
          <w:b/>
          <w:bCs/>
          <w:sz w:val="32"/>
          <w:szCs w:val="32"/>
          <w:lang w:val="en-GB" w:eastAsia="zh-CN"/>
        </w:rPr>
        <w:t>（</w:t>
      </w:r>
      <w:r>
        <w:rPr>
          <w:rFonts w:hint="eastAsia" w:ascii="仿宋_GB2312" w:hAnsi="华文楷体" w:eastAsia="仿宋_GB2312" w:cs="Times New Roman"/>
          <w:b/>
          <w:bCs/>
          <w:sz w:val="32"/>
          <w:szCs w:val="32"/>
          <w:lang w:val="en-US" w:eastAsia="zh-CN"/>
        </w:rPr>
        <w:t>三）</w:t>
      </w:r>
      <w:r>
        <w:rPr>
          <w:rFonts w:hint="default" w:ascii="仿宋_GB2312" w:hAnsi="华文楷体" w:eastAsia="仿宋_GB2312" w:cs="Times New Roman"/>
          <w:b/>
          <w:bCs/>
          <w:sz w:val="32"/>
          <w:szCs w:val="32"/>
          <w:lang w:val="en-GB"/>
        </w:rPr>
        <w:t>影响融资平衡结果的风险及控制措施</w:t>
      </w:r>
      <w:bookmarkEnd w:id="194"/>
      <w:bookmarkEnd w:id="195"/>
      <w:bookmarkEnd w:id="196"/>
      <w:bookmarkEnd w:id="197"/>
      <w:bookmarkEnd w:id="198"/>
      <w:bookmarkEnd w:id="199"/>
      <w:bookmarkStart w:id="200" w:name="_Toc21323"/>
      <w:bookmarkStart w:id="201" w:name="_Toc16691"/>
      <w:bookmarkStart w:id="202" w:name="_Toc21955"/>
      <w:bookmarkStart w:id="203" w:name="_Toc30985"/>
      <w:bookmarkStart w:id="204" w:name="_Toc3433"/>
      <w:bookmarkStart w:id="205" w:name="_Toc27749"/>
      <w:bookmarkStart w:id="206" w:name="_Toc17618"/>
      <w:bookmarkStart w:id="207" w:name="_Toc19043"/>
      <w:bookmarkStart w:id="208" w:name="_Toc20070"/>
      <w:bookmarkStart w:id="209" w:name="_Toc15364"/>
      <w:bookmarkStart w:id="210" w:name="_Toc11170"/>
    </w:p>
    <w:p w14:paraId="6157C1A1">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US" w:eastAsia="zh-CN"/>
        </w:rPr>
      </w:pPr>
      <w:bookmarkStart w:id="211" w:name="_Toc24336"/>
      <w:bookmarkStart w:id="212" w:name="_Toc5640"/>
      <w:bookmarkStart w:id="213" w:name="_Toc27810"/>
      <w:r>
        <w:rPr>
          <w:rFonts w:hint="eastAsia" w:ascii="仿宋_GB2312" w:hAnsi="华文楷体" w:eastAsia="仿宋_GB2312" w:cs="Times New Roman"/>
          <w:sz w:val="32"/>
          <w:szCs w:val="32"/>
          <w:lang w:val="en-US" w:eastAsia="zh-CN"/>
        </w:rPr>
        <w:t>1.</w:t>
      </w:r>
      <w:r>
        <w:rPr>
          <w:rFonts w:hint="default" w:ascii="仿宋_GB2312" w:hAnsi="华文楷体" w:eastAsia="仿宋_GB2312" w:cs="Times New Roman"/>
          <w:sz w:val="32"/>
          <w:szCs w:val="32"/>
          <w:lang w:val="en-US" w:eastAsia="zh-CN"/>
        </w:rPr>
        <w:t>投资测算不准确风险</w:t>
      </w:r>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p>
    <w:p w14:paraId="09F3FF4F">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识别：投资测算不准确风险是指在项目收益测算时，基于相关单价和测算量的假设，测算结果可能与实际结果存在一定的差距；此外，测算可能含有不可避免的人为误差。因此，投资测算不准确会影响到项目整体的收益、成本，对债券还本付息造成影响。</w:t>
      </w:r>
    </w:p>
    <w:p w14:paraId="226F41A5">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风险控制措施：对测算中的基本假设进行合理性评估，应当符合当地经济社会发展的现实情况；对投资测算的部分由专业的会计师事务所进行复核，尽可能的减小人为误差到可控范围。</w:t>
      </w:r>
    </w:p>
    <w:p w14:paraId="4817FD84">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US" w:eastAsia="zh-CN"/>
        </w:rPr>
      </w:pPr>
      <w:bookmarkStart w:id="214" w:name="_Toc30360"/>
      <w:bookmarkStart w:id="215" w:name="_Toc19273"/>
      <w:bookmarkStart w:id="216" w:name="_Toc26204"/>
      <w:bookmarkStart w:id="217" w:name="_Toc19452"/>
      <w:bookmarkStart w:id="218" w:name="_Toc32116"/>
      <w:bookmarkStart w:id="219" w:name="_Toc23495"/>
      <w:bookmarkStart w:id="220" w:name="_Toc9244"/>
      <w:bookmarkStart w:id="221" w:name="_Toc9041"/>
      <w:bookmarkStart w:id="222" w:name="_Toc2417"/>
      <w:bookmarkStart w:id="223" w:name="_Toc19919"/>
      <w:bookmarkStart w:id="224" w:name="_Toc408"/>
      <w:bookmarkStart w:id="225" w:name="_Toc29249"/>
      <w:bookmarkStart w:id="226" w:name="_Toc17976"/>
      <w:bookmarkStart w:id="227" w:name="_Toc15130"/>
      <w:r>
        <w:rPr>
          <w:rFonts w:hint="eastAsia" w:ascii="仿宋_GB2312" w:hAnsi="华文楷体" w:eastAsia="仿宋_GB2312" w:cs="Times New Roman"/>
          <w:sz w:val="32"/>
          <w:szCs w:val="32"/>
          <w:lang w:val="en-US" w:eastAsia="zh-CN"/>
        </w:rPr>
        <w:t>2.</w:t>
      </w:r>
      <w:r>
        <w:rPr>
          <w:rFonts w:hint="default" w:ascii="仿宋_GB2312" w:hAnsi="华文楷体" w:eastAsia="仿宋_GB2312" w:cs="Times New Roman"/>
          <w:sz w:val="32"/>
          <w:szCs w:val="32"/>
          <w:lang w:val="en-US" w:eastAsia="zh-CN"/>
        </w:rPr>
        <w:t>利率波动风险</w:t>
      </w:r>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p>
    <w:p w14:paraId="4A0FF96F">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识别：利率波动风险是指因利率变动，导致附息资产（如贷款或债券）而承担价值波动的风险。由于在本项目中，融资收益平衡专项债属于固定利率债券。若未来市场利率下降，政府的融资成本相较于当时的市场利率水平则偏高，对其产生不利影响。</w:t>
      </w:r>
    </w:p>
    <w:p w14:paraId="3954F8EF">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风险控制措施：可约定提前还债，降低利率波动带来融资成本变高的风险。</w:t>
      </w:r>
    </w:p>
    <w:p w14:paraId="02C9399F">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US" w:eastAsia="zh-CN"/>
        </w:rPr>
      </w:pPr>
      <w:bookmarkStart w:id="228" w:name="_Toc7825"/>
      <w:bookmarkStart w:id="229" w:name="_Toc18512"/>
      <w:bookmarkStart w:id="230" w:name="_Toc14357"/>
      <w:bookmarkStart w:id="231" w:name="_Toc2695"/>
      <w:bookmarkStart w:id="232" w:name="_Toc5283"/>
      <w:bookmarkStart w:id="233" w:name="_Toc12844"/>
      <w:bookmarkStart w:id="234" w:name="_Toc17060"/>
      <w:bookmarkStart w:id="235" w:name="_Toc31433"/>
      <w:bookmarkStart w:id="236" w:name="_Toc10093"/>
      <w:bookmarkStart w:id="237" w:name="_Toc5579"/>
      <w:bookmarkStart w:id="238" w:name="_Toc19741"/>
      <w:bookmarkStart w:id="239" w:name="_Toc155"/>
      <w:bookmarkStart w:id="240" w:name="_Toc104"/>
      <w:bookmarkStart w:id="241" w:name="_Toc25553"/>
      <w:r>
        <w:rPr>
          <w:rFonts w:hint="eastAsia" w:ascii="仿宋_GB2312" w:hAnsi="华文楷体" w:eastAsia="仿宋_GB2312" w:cs="Times New Roman"/>
          <w:sz w:val="32"/>
          <w:szCs w:val="32"/>
          <w:lang w:val="en-US" w:eastAsia="zh-CN"/>
        </w:rPr>
        <w:t>3.</w:t>
      </w:r>
      <w:r>
        <w:rPr>
          <w:rFonts w:hint="default" w:ascii="仿宋_GB2312" w:hAnsi="华文楷体" w:eastAsia="仿宋_GB2312" w:cs="Times New Roman"/>
          <w:sz w:val="32"/>
          <w:szCs w:val="32"/>
          <w:lang w:val="en-US" w:eastAsia="zh-CN"/>
        </w:rPr>
        <w:t>存续债券置换不畅风险</w:t>
      </w:r>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p>
    <w:p w14:paraId="1A123FFA">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识别：存续债券置换不畅风险，因债券置换有助于推动我国地方政府债务管理体制改革，有效化解地方政府存量债务风险，减轻地方政府的偿债压力，降低债务成本。债券置换过程中，可能存在操作性的风险，债权人、债务人等利益相关方不能达成一致共识，造成置换不畅的后果。</w:t>
      </w:r>
    </w:p>
    <w:p w14:paraId="22D7FF01">
      <w:pPr>
        <w:widowControl/>
        <w:adjustRightInd w:val="0"/>
        <w:snapToGrid w:val="0"/>
        <w:spacing w:after="217" w:afterLines="50" w:line="560" w:lineRule="exact"/>
        <w:ind w:firstLine="640" w:firstLineChars="200"/>
        <w:rPr>
          <w:rFonts w:hint="default" w:ascii="仿宋_GB2312" w:hAnsi="华文楷体" w:eastAsia="仿宋_GB2312" w:cs="Times New Roman"/>
          <w:sz w:val="32"/>
          <w:szCs w:val="32"/>
          <w:lang w:val="en-GB"/>
        </w:rPr>
      </w:pPr>
      <w:r>
        <w:rPr>
          <w:rFonts w:hint="default" w:ascii="仿宋_GB2312" w:hAnsi="华文楷体" w:eastAsia="仿宋_GB2312" w:cs="Times New Roman"/>
          <w:sz w:val="32"/>
          <w:szCs w:val="32"/>
          <w:lang w:val="en-GB"/>
        </w:rPr>
        <w:t>风险控制措施：不可一味用行政措施来规避操作风险，关键在于有效提高</w:t>
      </w:r>
      <w:r>
        <w:rPr>
          <w:rFonts w:hint="default" w:ascii="仿宋_GB2312" w:hAnsi="华文楷体" w:eastAsia="仿宋_GB2312" w:cs="Times New Roman"/>
          <w:sz w:val="32"/>
          <w:szCs w:val="32"/>
          <w:lang w:val="en-GB" w:eastAsia="zh-CN"/>
        </w:rPr>
        <w:t>法治化</w:t>
      </w:r>
      <w:r>
        <w:rPr>
          <w:rFonts w:hint="default" w:ascii="仿宋_GB2312" w:hAnsi="华文楷体" w:eastAsia="仿宋_GB2312" w:cs="Times New Roman"/>
          <w:sz w:val="32"/>
          <w:szCs w:val="32"/>
          <w:lang w:val="en-GB"/>
        </w:rPr>
        <w:t>程度和水平。可约定提前还债，降低利率波动带来融资成本变高的风险；完善政府市场定价机制，构成合理的地方政府债券利率的合理区间；根据地方的实际情况，建立完善债券风险预警机制和监控机制，且在操作工程中要严格按要求执行，从而保障投资者的利益。</w:t>
      </w:r>
    </w:p>
    <w:p w14:paraId="2CC85C3A">
      <w:pPr>
        <w:spacing w:before="240" w:after="120" w:line="560" w:lineRule="exact"/>
        <w:ind w:firstLine="640" w:firstLineChars="200"/>
        <w:rPr>
          <w:rFonts w:hint="eastAsia" w:ascii="仿宋_GB2312" w:eastAsia="仿宋_GB2312"/>
          <w:sz w:val="32"/>
          <w:szCs w:val="32"/>
        </w:rPr>
      </w:pPr>
      <w:r>
        <w:rPr>
          <w:rFonts w:hint="eastAsia" w:ascii="黑体" w:hAnsi="黑体" w:eastAsia="黑体"/>
          <w:sz w:val="32"/>
          <w:szCs w:val="32"/>
        </w:rPr>
        <w:t>七、还款保障情况</w:t>
      </w:r>
    </w:p>
    <w:p w14:paraId="1A907657">
      <w:pPr>
        <w:spacing w:line="560" w:lineRule="exact"/>
        <w:ind w:firstLine="640" w:firstLineChars="200"/>
        <w:rPr>
          <w:rFonts w:hint="eastAsia" w:ascii="仿宋_GB2312" w:hAnsi="仿宋" w:eastAsia="仿宋_GB2312"/>
          <w:sz w:val="32"/>
          <w:szCs w:val="32"/>
          <w:lang w:val="en-GB"/>
        </w:rPr>
      </w:pPr>
      <w:r>
        <w:rPr>
          <w:rFonts w:hint="eastAsia" w:ascii="仿宋_GB2312" w:eastAsia="仿宋_GB2312"/>
          <w:sz w:val="32"/>
          <w:szCs w:val="32"/>
        </w:rPr>
        <w:t>按照《国务院办公厅关于印发地方政府性债务风险应急处置预案的通知》（国办函〔2016〕88号）规定，本级政府对地方政府债券依法承担全部偿还责任。本级财政将按照《财政部关于印发&lt;地方政府专项债务预算管理办法&gt;的通知》（财预〔2016〕155号）规定，及时按照转贷协议约定逐级向省财政缴纳本级应当承担的还本付息资金，由省财政按照合同约定及时偿还专项债券到期本息。如偿债出现困难，将通过调减投资计划、处置可变现资产、调整预算支出结构等方式筹集资金偿还债务。未按时足额向省财政缴纳专项债券还本付息资金的,省财政采取适当方式扣回。</w:t>
      </w:r>
    </w:p>
    <w:p w14:paraId="463FCCC7">
      <w:pPr>
        <w:numPr>
          <w:ilvl w:val="0"/>
          <w:numId w:val="5"/>
        </w:numPr>
        <w:spacing w:before="240" w:after="120" w:line="560" w:lineRule="exact"/>
        <w:ind w:firstLine="640" w:firstLineChars="200"/>
        <w:rPr>
          <w:rFonts w:hint="eastAsia" w:ascii="黑体" w:hAnsi="黑体" w:eastAsia="黑体"/>
          <w:sz w:val="32"/>
          <w:szCs w:val="32"/>
        </w:rPr>
      </w:pPr>
      <w:r>
        <w:rPr>
          <w:rFonts w:hint="eastAsia" w:ascii="黑体" w:hAnsi="黑体" w:eastAsia="黑体"/>
          <w:sz w:val="32"/>
          <w:szCs w:val="32"/>
        </w:rPr>
        <w:t>主管部门和项目单位职责</w:t>
      </w:r>
    </w:p>
    <w:p w14:paraId="42483BB8">
      <w:pPr>
        <w:spacing w:line="560" w:lineRule="exact"/>
        <w:ind w:firstLine="640" w:firstLineChars="200"/>
        <w:rPr>
          <w:rFonts w:hint="eastAsia" w:ascii="仿宋_GB2312" w:hAnsi="Calibri" w:eastAsia="仿宋_GB2312" w:cs="Times New Roman"/>
          <w:sz w:val="32"/>
          <w:szCs w:val="32"/>
          <w:lang w:eastAsia="zh-CN"/>
        </w:rPr>
      </w:pPr>
      <w:bookmarkStart w:id="242" w:name="_Hlk84430567"/>
      <w:r>
        <w:rPr>
          <w:rFonts w:hint="eastAsia" w:ascii="仿宋_GB2312" w:hAnsi="Calibri" w:eastAsia="仿宋_GB2312" w:cs="Times New Roman"/>
          <w:sz w:val="32"/>
          <w:szCs w:val="32"/>
          <w:lang w:val="en-US" w:eastAsia="zh-CN"/>
        </w:rPr>
        <w:t>本项目业主单位和业主单位均为</w:t>
      </w:r>
      <w:r>
        <w:rPr>
          <w:rFonts w:hint="eastAsia" w:ascii="仿宋_GB2312" w:eastAsia="仿宋_GB2312" w:cs="Times New Roman"/>
          <w:sz w:val="32"/>
          <w:szCs w:val="32"/>
          <w:lang w:val="en-US" w:eastAsia="zh-CN"/>
        </w:rPr>
        <w:t>炉霍县农牧农村和科技局</w:t>
      </w:r>
      <w:r>
        <w:rPr>
          <w:rFonts w:hint="eastAsia" w:ascii="仿宋_GB2312" w:hAnsi="Calibri" w:eastAsia="仿宋_GB2312" w:cs="Times New Roman"/>
          <w:sz w:val="32"/>
          <w:szCs w:val="32"/>
          <w:lang w:val="en-US" w:eastAsia="zh-CN"/>
        </w:rPr>
        <w:t>。主要职责为：把控项目实施进度，对项目运营进行监管。保障资金流向正确</w:t>
      </w:r>
      <w:r>
        <w:rPr>
          <w:rFonts w:hint="eastAsia" w:ascii="仿宋_GB2312" w:hAnsi="Calibri" w:eastAsia="仿宋_GB2312" w:cs="Times New Roman"/>
          <w:sz w:val="32"/>
          <w:szCs w:val="32"/>
          <w:lang w:eastAsia="zh-CN"/>
        </w:rPr>
        <w:t>。</w:t>
      </w:r>
      <w:bookmarkEnd w:id="242"/>
    </w:p>
    <w:p w14:paraId="4069F28B">
      <w:pPr>
        <w:numPr>
          <w:ilvl w:val="0"/>
          <w:numId w:val="6"/>
        </w:numPr>
        <w:spacing w:before="240" w:after="120" w:line="560" w:lineRule="exact"/>
        <w:ind w:firstLine="640" w:firstLineChars="200"/>
        <w:rPr>
          <w:rFonts w:hint="eastAsia" w:ascii="黑体" w:hAnsi="黑体" w:eastAsia="黑体"/>
          <w:sz w:val="32"/>
          <w:szCs w:val="32"/>
        </w:rPr>
      </w:pPr>
      <w:r>
        <w:rPr>
          <w:rFonts w:hint="eastAsia" w:ascii="黑体" w:hAnsi="黑体" w:eastAsia="黑体"/>
          <w:sz w:val="32"/>
          <w:szCs w:val="32"/>
        </w:rPr>
        <w:t>补充说明</w:t>
      </w:r>
    </w:p>
    <w:p w14:paraId="6B70348B">
      <w:pPr>
        <w:spacing w:line="560" w:lineRule="exact"/>
        <w:ind w:firstLine="632" w:firstLineChars="200"/>
        <w:rPr>
          <w:rFonts w:hint="eastAsia" w:ascii="仿宋_GB2312" w:hAnsi="仿宋_GB2312" w:eastAsia="仿宋_GB2312"/>
          <w:w w:val="99"/>
          <w:sz w:val="32"/>
          <w:szCs w:val="32"/>
        </w:rPr>
      </w:pPr>
      <w:r>
        <w:rPr>
          <w:rFonts w:hint="eastAsia" w:ascii="仿宋_GB2312" w:hAnsi="仿宋_GB2312" w:eastAsia="仿宋_GB2312"/>
          <w:w w:val="99"/>
          <w:sz w:val="32"/>
          <w:szCs w:val="32"/>
        </w:rPr>
        <w:t>根据发行计划及额度安排,此项目</w:t>
      </w:r>
      <w:r>
        <w:rPr>
          <w:rFonts w:hint="eastAsia" w:ascii="仿宋_GB2312" w:hAnsi="仿宋_GB2312" w:eastAsia="仿宋_GB2312"/>
          <w:w w:val="99"/>
          <w:sz w:val="32"/>
          <w:szCs w:val="32"/>
          <w:lang w:eastAsia="zh-CN"/>
        </w:rPr>
        <w:t>202</w:t>
      </w:r>
      <w:r>
        <w:rPr>
          <w:rFonts w:hint="eastAsia" w:ascii="仿宋_GB2312" w:hAnsi="仿宋_GB2312" w:eastAsia="仿宋_GB2312"/>
          <w:w w:val="99"/>
          <w:sz w:val="32"/>
          <w:szCs w:val="32"/>
          <w:lang w:val="en-US" w:eastAsia="zh-CN"/>
        </w:rPr>
        <w:t>5</w:t>
      </w:r>
      <w:r>
        <w:rPr>
          <w:rFonts w:hint="eastAsia" w:ascii="仿宋_GB2312" w:hAnsi="仿宋_GB2312" w:eastAsia="仿宋_GB2312"/>
          <w:w w:val="99"/>
          <w:sz w:val="32"/>
          <w:szCs w:val="32"/>
        </w:rPr>
        <w:t>年拟申请发行</w:t>
      </w:r>
      <w:r>
        <w:rPr>
          <w:rFonts w:hint="eastAsia" w:ascii="仿宋_GB2312" w:hAnsi="仿宋_GB2312" w:eastAsia="仿宋_GB2312"/>
          <w:w w:val="99"/>
          <w:sz w:val="32"/>
          <w:szCs w:val="32"/>
          <w:lang w:val="en-US" w:eastAsia="zh-CN"/>
        </w:rPr>
        <w:t>3000</w:t>
      </w:r>
      <w:r>
        <w:rPr>
          <w:rFonts w:hint="eastAsia" w:ascii="仿宋_GB2312" w:hAnsi="仿宋_GB2312" w:eastAsia="仿宋_GB2312"/>
          <w:w w:val="99"/>
          <w:sz w:val="32"/>
          <w:szCs w:val="32"/>
        </w:rPr>
        <w:t>万元，</w:t>
      </w:r>
      <w:r>
        <w:rPr>
          <w:rFonts w:hint="eastAsia" w:ascii="仿宋_GB2312" w:hAnsi="仿宋_GB2312" w:eastAsia="仿宋_GB2312"/>
          <w:w w:val="99"/>
          <w:sz w:val="32"/>
          <w:szCs w:val="32"/>
          <w:lang w:val="en-US" w:eastAsia="zh-CN"/>
        </w:rPr>
        <w:t>2025年已发行0万元，</w:t>
      </w:r>
      <w:r>
        <w:rPr>
          <w:rFonts w:hint="eastAsia" w:ascii="仿宋_GB2312" w:hAnsi="仿宋_GB2312" w:eastAsia="仿宋_GB2312"/>
          <w:w w:val="99"/>
          <w:sz w:val="32"/>
          <w:szCs w:val="32"/>
        </w:rPr>
        <w:t>本次拟发行</w:t>
      </w:r>
      <w:r>
        <w:rPr>
          <w:rFonts w:hint="eastAsia" w:ascii="仿宋_GB2312" w:hAnsi="仿宋_GB2312" w:eastAsia="仿宋_GB2312"/>
          <w:w w:val="99"/>
          <w:sz w:val="32"/>
          <w:szCs w:val="32"/>
          <w:lang w:val="en-US" w:eastAsia="zh-CN"/>
        </w:rPr>
        <w:t>400</w:t>
      </w:r>
      <w:r>
        <w:rPr>
          <w:rFonts w:hint="eastAsia" w:ascii="仿宋_GB2312" w:hAnsi="仿宋_GB2312" w:eastAsia="仿宋_GB2312"/>
          <w:w w:val="99"/>
          <w:sz w:val="32"/>
          <w:szCs w:val="32"/>
        </w:rPr>
        <w:t>万元，期限</w:t>
      </w:r>
      <w:r>
        <w:rPr>
          <w:rFonts w:hint="eastAsia" w:ascii="仿宋_GB2312" w:hAnsi="仿宋_GB2312" w:eastAsia="仿宋_GB2312"/>
          <w:w w:val="99"/>
          <w:sz w:val="32"/>
          <w:szCs w:val="32"/>
          <w:lang w:val="en-US" w:eastAsia="zh-CN"/>
        </w:rPr>
        <w:t>30</w:t>
      </w:r>
      <w:r>
        <w:rPr>
          <w:rFonts w:hint="eastAsia" w:ascii="仿宋_GB2312" w:hAnsi="仿宋_GB2312" w:eastAsia="仿宋_GB2312"/>
          <w:w w:val="99"/>
          <w:sz w:val="32"/>
          <w:szCs w:val="32"/>
        </w:rPr>
        <w:t>年。</w:t>
      </w:r>
    </w:p>
    <w:p w14:paraId="754949C3">
      <w:pPr>
        <w:spacing w:line="560" w:lineRule="exact"/>
        <w:ind w:firstLine="632" w:firstLineChars="200"/>
        <w:rPr>
          <w:rFonts w:hint="default" w:ascii="仿宋_GB2312" w:hAnsi="仿宋_GB2312" w:eastAsia="仿宋_GB2312"/>
          <w:w w:val="99"/>
          <w:sz w:val="32"/>
          <w:szCs w:val="32"/>
          <w:lang w:val="en-US" w:eastAsia="zh-CN"/>
        </w:rPr>
      </w:pPr>
      <w:bookmarkStart w:id="243" w:name="_GoBack"/>
      <w:bookmarkEnd w:id="243"/>
    </w:p>
    <w:sectPr>
      <w:pgSz w:w="11906" w:h="16838"/>
      <w:pgMar w:top="2098" w:right="1418" w:bottom="1588" w:left="1644" w:header="851" w:footer="992" w:gutter="0"/>
      <w:pgNumType w:fmt="numberInDash"/>
      <w:cols w:space="720" w:num="1"/>
      <w:docGrid w:type="lines" w:linePitch="435"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91327E33-A6F5-470A-943A-1945A2DD6986}"/>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80F2514B-1F68-40DD-88FB-2ED57696E567}"/>
  </w:font>
  <w:font w:name="仿宋_GB2312">
    <w:panose1 w:val="02010609030101010101"/>
    <w:charset w:val="86"/>
    <w:family w:val="modern"/>
    <w:pitch w:val="default"/>
    <w:sig w:usb0="00000001" w:usb1="080E0000" w:usb2="00000000" w:usb3="00000000" w:csb0="00040000" w:csb1="00000000"/>
    <w:embedRegular r:id="rId3" w:fontKey="{22028953-5DA4-4515-9F42-1AD762500755}"/>
  </w:font>
  <w:font w:name="华文楷体">
    <w:panose1 w:val="02010600040101010101"/>
    <w:charset w:val="86"/>
    <w:family w:val="auto"/>
    <w:pitch w:val="default"/>
    <w:sig w:usb0="00000287" w:usb1="080F0000" w:usb2="00000000" w:usb3="00000000" w:csb0="0004009F" w:csb1="DFD70000"/>
    <w:embedRegular r:id="rId4" w:fontKey="{41E3BF43-072D-40C8-A358-A9B0F0CF039D}"/>
  </w:font>
  <w:font w:name="方正楷体_GB2312">
    <w:panose1 w:val="02000000000000000000"/>
    <w:charset w:val="86"/>
    <w:family w:val="auto"/>
    <w:pitch w:val="default"/>
    <w:sig w:usb0="A00002BF" w:usb1="184F6CFA" w:usb2="00000012" w:usb3="00000000" w:csb0="00040001" w:csb1="00000000"/>
  </w:font>
  <w:font w:name="仿宋">
    <w:panose1 w:val="02010609060101010101"/>
    <w:charset w:val="86"/>
    <w:family w:val="auto"/>
    <w:pitch w:val="default"/>
    <w:sig w:usb0="800002BF" w:usb1="38CF7CFA" w:usb2="00000016" w:usb3="00000000" w:csb0="00040001" w:csb1="00000000"/>
    <w:embedRegular r:id="rId5" w:fontKey="{F6729BE7-6915-4FFB-8D08-A3D0F021A61F}"/>
  </w:font>
  <w:font w:name="楷体_GB2312">
    <w:panose1 w:val="02010609030101010101"/>
    <w:charset w:val="86"/>
    <w:family w:val="auto"/>
    <w:pitch w:val="default"/>
    <w:sig w:usb0="00000001" w:usb1="080E0000" w:usb2="00000000" w:usb3="00000000" w:csb0="00040000" w:csb1="00000000"/>
    <w:embedRegular r:id="rId6" w:fontKey="{BAE9F4A0-E552-42D1-A493-EA34930DCBB0}"/>
  </w:font>
  <w:font w:name="楷体">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Univers 45 Light">
    <w:altName w:val="Courier New"/>
    <w:panose1 w:val="00000000000000000000"/>
    <w:charset w:val="00"/>
    <w:family w:val="swiss"/>
    <w:pitch w:val="default"/>
    <w:sig w:usb0="00000000" w:usb1="00000000" w:usb2="00000000" w:usb3="00000000" w:csb0="00000001" w:csb1="00000000"/>
  </w:font>
  <w:font w:name="方正小标宋简体">
    <w:panose1 w:val="03000509000000000000"/>
    <w:charset w:val="86"/>
    <w:family w:val="auto"/>
    <w:pitch w:val="default"/>
    <w:sig w:usb0="00000001" w:usb1="080E0000" w:usb2="00000000" w:usb3="00000000" w:csb0="00040000" w:csb1="00000000"/>
    <w:embedRegular r:id="rId7" w:fontKey="{2DC2DB09-B933-4645-BF20-C60212E493DA}"/>
  </w:font>
  <w:font w:name="等线">
    <w:panose1 w:val="02010600030101010101"/>
    <w:charset w:val="86"/>
    <w:family w:val="auto"/>
    <w:pitch w:val="default"/>
    <w:sig w:usb0="A00002BF" w:usb1="38CF7CFA" w:usb2="00000016" w:usb3="00000000" w:csb0="0004000F" w:csb1="00000000"/>
    <w:embedRegular r:id="rId8" w:fontKey="{81FAB1A7-8BA2-4B31-8EB2-FACDB56E3657}"/>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90E61E">
    <w:pPr>
      <w:pStyle w:val="9"/>
      <w:jc w:val="right"/>
      <w:rPr>
        <w:rFonts w:ascii="宋体" w:hAnsi="宋体"/>
        <w:sz w:val="28"/>
        <w:szCs w:val="28"/>
      </w:rPr>
    </w:pPr>
    <w:r>
      <w:rPr>
        <w:rFonts w:ascii="宋体" w:hAnsi="宋体"/>
        <w:sz w:val="28"/>
        <w:szCs w:val="28"/>
      </w:rPr>
      <w:fldChar w:fldCharType="begin"/>
    </w:r>
    <w:r>
      <w:rPr>
        <w:rFonts w:ascii="宋体" w:hAnsi="宋体"/>
        <w:sz w:val="28"/>
        <w:szCs w:val="28"/>
      </w:rPr>
      <w:instrText xml:space="preserve"> PAGE   \* MERGEFORMAT </w:instrText>
    </w:r>
    <w:r>
      <w:rPr>
        <w:rFonts w:ascii="宋体" w:hAnsi="宋体"/>
        <w:sz w:val="28"/>
        <w:szCs w:val="28"/>
      </w:rPr>
      <w:fldChar w:fldCharType="separate"/>
    </w:r>
    <w:r>
      <w:rPr>
        <w:rFonts w:ascii="Calibri"/>
      </w:rPr>
      <w:t>- 3 -</w:t>
    </w:r>
    <w:r>
      <w:rPr>
        <w:rFonts w:ascii="宋体" w:hAnsi="宋体"/>
        <w:sz w:val="28"/>
        <w:szCs w:val="2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7A6793">
    <w:pPr>
      <w:pStyle w:val="9"/>
      <w:rPr>
        <w:rFonts w:ascii="宋体" w:hAnsi="宋体"/>
        <w:sz w:val="28"/>
        <w:szCs w:val="28"/>
      </w:rPr>
    </w:pPr>
    <w:r>
      <w:rPr>
        <w:rFonts w:ascii="宋体" w:hAnsi="宋体"/>
        <w:sz w:val="28"/>
        <w:szCs w:val="28"/>
      </w:rPr>
      <w:fldChar w:fldCharType="begin"/>
    </w:r>
    <w:r>
      <w:rPr>
        <w:rFonts w:ascii="宋体" w:hAnsi="宋体"/>
        <w:sz w:val="28"/>
        <w:szCs w:val="28"/>
      </w:rPr>
      <w:instrText xml:space="preserve"> PAGE   \* MERGEFORMAT </w:instrText>
    </w:r>
    <w:r>
      <w:rPr>
        <w:rFonts w:ascii="宋体" w:hAnsi="宋体"/>
        <w:sz w:val="28"/>
        <w:szCs w:val="28"/>
      </w:rPr>
      <w:fldChar w:fldCharType="separate"/>
    </w:r>
    <w:r>
      <w:rPr>
        <w:rFonts w:ascii="Calibri"/>
      </w:rPr>
      <w:t>- 4 -</w:t>
    </w:r>
    <w:r>
      <w:rPr>
        <w:rFonts w:ascii="宋体" w:hAnsi="宋体"/>
        <w:sz w:val="28"/>
        <w:szCs w:val="28"/>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59B966">
    <w:pPr>
      <w:pStyle w:val="10"/>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EB37D2">
    <w:pPr>
      <w:pStyle w:val="10"/>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44D9DF">
    <w:pPr>
      <w:pStyle w:val="10"/>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082FCFF"/>
    <w:multiLevelType w:val="multilevel"/>
    <w:tmpl w:val="C082FCFF"/>
    <w:lvl w:ilvl="0" w:tentative="0">
      <w:start w:val="1"/>
      <w:numFmt w:val="chineseCounting"/>
      <w:suff w:val="nothing"/>
      <w:lvlText w:val="（%1）"/>
      <w:lvlJc w:val="left"/>
      <w:pPr>
        <w:ind w:left="0" w:firstLine="420"/>
      </w:pPr>
      <w:rPr>
        <w:rFonts w:hint="eastAsia"/>
      </w:rPr>
    </w:lvl>
    <w:lvl w:ilvl="1" w:tentative="0">
      <w:start w:val="1"/>
      <w:numFmt w:val="decimal"/>
      <w:pStyle w:val="2"/>
      <w:suff w:val="nothing"/>
      <w:lvlText w:val="%2．"/>
      <w:lvlJc w:val="left"/>
      <w:pPr>
        <w:tabs>
          <w:tab w:val="left" w:pos="0"/>
        </w:tabs>
        <w:ind w:left="280" w:firstLine="420"/>
      </w:pPr>
      <w:rPr>
        <w:rFonts w:hint="eastAsia"/>
      </w:rPr>
    </w:lvl>
    <w:lvl w:ilvl="2" w:tentative="0">
      <w:start w:val="1"/>
      <w:numFmt w:val="decimal"/>
      <w:suff w:val="nothing"/>
      <w:lvlText w:val="（%3）"/>
      <w:lvlJc w:val="left"/>
      <w:pPr>
        <w:ind w:left="0" w:firstLine="420"/>
      </w:pPr>
      <w:rPr>
        <w:rFonts w:hint="eastAsia"/>
      </w:rPr>
    </w:lvl>
    <w:lvl w:ilvl="3" w:tentative="0">
      <w:start w:val="1"/>
      <w:numFmt w:val="decimalEnclosedCircleChinese"/>
      <w:suff w:val="nothing"/>
      <w:lvlText w:val="%4"/>
      <w:lvlJc w:val="left"/>
      <w:pPr>
        <w:ind w:left="0" w:firstLine="420"/>
      </w:pPr>
      <w:rPr>
        <w:rFonts w:hint="eastAsia"/>
      </w:rPr>
    </w:lvl>
    <w:lvl w:ilvl="4" w:tentative="0">
      <w:start w:val="1"/>
      <w:numFmt w:val="decimal"/>
      <w:suff w:val="nothing"/>
      <w:lvlText w:val="%5）"/>
      <w:lvlJc w:val="left"/>
      <w:pPr>
        <w:ind w:left="0" w:firstLine="420"/>
      </w:pPr>
      <w:rPr>
        <w:rFonts w:hint="eastAsia"/>
      </w:rPr>
    </w:lvl>
    <w:lvl w:ilvl="5" w:tentative="0">
      <w:start w:val="1"/>
      <w:numFmt w:val="lowerLetter"/>
      <w:suff w:val="nothing"/>
      <w:lvlText w:val="%6．"/>
      <w:lvlJc w:val="left"/>
      <w:pPr>
        <w:ind w:left="0" w:firstLine="420"/>
      </w:pPr>
      <w:rPr>
        <w:rFonts w:hint="eastAsia"/>
      </w:rPr>
    </w:lvl>
    <w:lvl w:ilvl="6" w:tentative="0">
      <w:start w:val="1"/>
      <w:numFmt w:val="lowerLetter"/>
      <w:suff w:val="nothing"/>
      <w:lvlText w:val="%7）"/>
      <w:lvlJc w:val="left"/>
      <w:pPr>
        <w:ind w:left="0" w:firstLine="420"/>
      </w:pPr>
      <w:rPr>
        <w:rFonts w:hint="eastAsia"/>
      </w:rPr>
    </w:lvl>
    <w:lvl w:ilvl="7" w:tentative="0">
      <w:start w:val="1"/>
      <w:numFmt w:val="lowerRoman"/>
      <w:suff w:val="nothing"/>
      <w:lvlText w:val="%8．"/>
      <w:lvlJc w:val="left"/>
      <w:pPr>
        <w:ind w:left="0" w:firstLine="420"/>
      </w:pPr>
      <w:rPr>
        <w:rFonts w:hint="eastAsia"/>
      </w:rPr>
    </w:lvl>
    <w:lvl w:ilvl="8" w:tentative="0">
      <w:start w:val="1"/>
      <w:numFmt w:val="lowerRoman"/>
      <w:suff w:val="nothing"/>
      <w:lvlText w:val="%9）"/>
      <w:lvlJc w:val="left"/>
      <w:pPr>
        <w:ind w:left="0" w:firstLine="420"/>
      </w:pPr>
      <w:rPr>
        <w:rFonts w:hint="eastAsia"/>
      </w:rPr>
    </w:lvl>
  </w:abstractNum>
  <w:abstractNum w:abstractNumId="1">
    <w:nsid w:val="D6AAE62B"/>
    <w:multiLevelType w:val="singleLevel"/>
    <w:tmpl w:val="D6AAE62B"/>
    <w:lvl w:ilvl="0" w:tentative="0">
      <w:start w:val="8"/>
      <w:numFmt w:val="chineseCounting"/>
      <w:suff w:val="nothing"/>
      <w:lvlText w:val="%1、"/>
      <w:lvlJc w:val="left"/>
      <w:rPr>
        <w:rFonts w:hint="eastAsia"/>
      </w:rPr>
    </w:lvl>
  </w:abstractNum>
  <w:abstractNum w:abstractNumId="2">
    <w:nsid w:val="0000000A"/>
    <w:multiLevelType w:val="singleLevel"/>
    <w:tmpl w:val="0000000A"/>
    <w:lvl w:ilvl="0" w:tentative="0">
      <w:start w:val="9"/>
      <w:numFmt w:val="chineseCounting"/>
      <w:suff w:val="nothing"/>
      <w:lvlText w:val="%1、"/>
      <w:lvlJc w:val="left"/>
    </w:lvl>
  </w:abstractNum>
  <w:abstractNum w:abstractNumId="3">
    <w:nsid w:val="4E325AC8"/>
    <w:multiLevelType w:val="singleLevel"/>
    <w:tmpl w:val="4E325AC8"/>
    <w:lvl w:ilvl="0" w:tentative="0">
      <w:start w:val="1"/>
      <w:numFmt w:val="bullet"/>
      <w:lvlText w:val=""/>
      <w:lvlJc w:val="left"/>
      <w:pPr>
        <w:ind w:left="420" w:hanging="420"/>
      </w:pPr>
      <w:rPr>
        <w:rFonts w:hint="default" w:ascii="Wingdings" w:hAnsi="Wingdings"/>
      </w:rPr>
    </w:lvl>
  </w:abstractNum>
  <w:abstractNum w:abstractNumId="4">
    <w:nsid w:val="61B5C826"/>
    <w:multiLevelType w:val="singleLevel"/>
    <w:tmpl w:val="61B5C826"/>
    <w:lvl w:ilvl="0" w:tentative="0">
      <w:start w:val="2"/>
      <w:numFmt w:val="chineseCounting"/>
      <w:suff w:val="nothing"/>
      <w:lvlText w:val="%1、"/>
      <w:lvlJc w:val="left"/>
      <w:rPr>
        <w:rFonts w:hint="eastAsia"/>
      </w:rPr>
    </w:lvl>
  </w:abstractNum>
  <w:abstractNum w:abstractNumId="5">
    <w:nsid w:val="73E2A25E"/>
    <w:multiLevelType w:val="multilevel"/>
    <w:tmpl w:val="73E2A25E"/>
    <w:lvl w:ilvl="0" w:tentative="0">
      <w:start w:val="1"/>
      <w:numFmt w:val="chineseCountingThousand"/>
      <w:suff w:val="nothing"/>
      <w:lvlText w:val="%1、"/>
      <w:lvlJc w:val="left"/>
      <w:pPr>
        <w:ind w:left="425" w:hanging="425"/>
      </w:pPr>
      <w:rPr>
        <w:rFonts w:hint="eastAsia" w:ascii="Times New Roman" w:hAnsi="Times New Roman" w:cs="Times New Roman"/>
        <w:b w:val="0"/>
        <w:bCs w:val="0"/>
        <w:i w:val="0"/>
        <w:iCs w:val="0"/>
        <w:caps w:val="0"/>
        <w:smallCaps w:val="0"/>
        <w:strike w:val="0"/>
        <w:dstrike w:val="0"/>
        <w:vanish w:val="0"/>
        <w:color w:val="000000"/>
        <w:spacing w:val="0"/>
        <w:kern w:val="0"/>
        <w:position w:val="0"/>
        <w:u w:val="none"/>
        <w:vertAlign w:val="baseline"/>
        <w:lang w:val="zh-CN" w:eastAsia="zh-CN"/>
      </w:rPr>
    </w:lvl>
    <w:lvl w:ilvl="1" w:tentative="0">
      <w:start w:val="1"/>
      <w:numFmt w:val="chineseCountingThousand"/>
      <w:suff w:val="nothing"/>
      <w:lvlText w:val="（%2）"/>
      <w:lvlJc w:val="left"/>
      <w:pPr>
        <w:ind w:left="992" w:hanging="567"/>
      </w:pPr>
      <w:rPr>
        <w:rFonts w:hint="eastAsia"/>
      </w:rPr>
    </w:lvl>
    <w:lvl w:ilvl="2" w:tentative="0">
      <w:start w:val="1"/>
      <w:numFmt w:val="decimal"/>
      <w:pStyle w:val="3"/>
      <w:suff w:val="nothing"/>
      <w:lvlText w:val="%3. "/>
      <w:lvlJc w:val="left"/>
      <w:pPr>
        <w:ind w:left="992" w:hanging="567"/>
      </w:pPr>
      <w:rPr>
        <w:rFonts w:hint="eastAsia"/>
      </w:rPr>
    </w:lvl>
    <w:lvl w:ilvl="3" w:tentative="0">
      <w:start w:val="1"/>
      <w:numFmt w:val="decimal"/>
      <w:pStyle w:val="4"/>
      <w:suff w:val="nothing"/>
      <w:lvlText w:val="（%4）"/>
      <w:lvlJc w:val="left"/>
      <w:pPr>
        <w:ind w:left="992" w:hanging="425"/>
      </w:pPr>
      <w:rPr>
        <w:rFonts w:hint="eastAsia"/>
      </w:rPr>
    </w:lvl>
    <w:lvl w:ilvl="4" w:tentative="0">
      <w:start w:val="1"/>
      <w:numFmt w:val="decimal"/>
      <w:suff w:val="nothing"/>
      <w:lvlText w:val="%5）"/>
      <w:lvlJc w:val="left"/>
      <w:pPr>
        <w:ind w:left="992" w:hanging="113"/>
      </w:pPr>
      <w:rPr>
        <w:rFonts w:hint="eastAsia"/>
      </w:rPr>
    </w:lvl>
    <w:lvl w:ilvl="5" w:tentative="0">
      <w:start w:val="1"/>
      <w:numFmt w:val="decimal"/>
      <w:suff w:val="nothing"/>
      <w:lvlText w:val="附件%6 "/>
      <w:lvlJc w:val="left"/>
      <w:pPr>
        <w:ind w:left="0" w:firstLine="0"/>
      </w:pPr>
      <w:rPr>
        <w:rFonts w:hint="eastAsia"/>
      </w:rPr>
    </w:lvl>
    <w:lvl w:ilvl="6" w:tentative="0">
      <w:start w:val="1"/>
      <w:numFmt w:val="chineseCountingThousand"/>
      <w:suff w:val="nothing"/>
      <w:lvlText w:val="%7、"/>
      <w:lvlJc w:val="left"/>
      <w:pPr>
        <w:ind w:left="992" w:hanging="567"/>
      </w:pPr>
      <w:rPr>
        <w:rFonts w:hint="eastAsia"/>
      </w:rPr>
    </w:lvl>
    <w:lvl w:ilvl="7" w:tentative="0">
      <w:start w:val="1"/>
      <w:numFmt w:val="chineseCountingThousand"/>
      <w:suff w:val="nothing"/>
      <w:lvlText w:val="（%8）"/>
      <w:lvlJc w:val="left"/>
      <w:pPr>
        <w:ind w:left="992" w:hanging="567"/>
      </w:pPr>
      <w:rPr>
        <w:rFonts w:hint="eastAsia"/>
      </w:rPr>
    </w:lvl>
    <w:lvl w:ilvl="8" w:tentative="0">
      <w:start w:val="1"/>
      <w:numFmt w:val="decimal"/>
      <w:suff w:val="nothing"/>
      <w:lvlText w:val="%9. "/>
      <w:lvlJc w:val="left"/>
      <w:pPr>
        <w:ind w:left="992" w:hanging="567"/>
      </w:pPr>
      <w:rPr>
        <w:rFonts w:hint="eastAsia"/>
      </w:rPr>
    </w:lvl>
  </w:abstractNum>
  <w:num w:numId="1">
    <w:abstractNumId w:val="0"/>
  </w:num>
  <w:num w:numId="2">
    <w:abstractNumId w:val="5"/>
  </w:num>
  <w:num w:numId="3">
    <w:abstractNumId w:val="4"/>
  </w:num>
  <w:num w:numId="4">
    <w:abstractNumId w:val="3"/>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3"/>
  <w:embedTrueTypeFonts/>
  <w:saveSubset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160"/>
  <w:drawingGridVerticalSpacing w:val="435"/>
  <w:displayHorizontalDrawingGridEvery w:val="0"/>
  <w:displayVerticalDrawingGridEvery w:val="1"/>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WRlOGQ1Y2ViN2MyZDVlN2JlOTZmZjNlMWZlMjk3MWQifQ=="/>
  </w:docVars>
  <w:rsids>
    <w:rsidRoot w:val="00172A27"/>
    <w:rsid w:val="000044AC"/>
    <w:rsid w:val="000B6F19"/>
    <w:rsid w:val="000F22A2"/>
    <w:rsid w:val="00220BA1"/>
    <w:rsid w:val="002628D5"/>
    <w:rsid w:val="002C334D"/>
    <w:rsid w:val="00383353"/>
    <w:rsid w:val="005C4576"/>
    <w:rsid w:val="006A439B"/>
    <w:rsid w:val="0081728C"/>
    <w:rsid w:val="008529BF"/>
    <w:rsid w:val="008D6788"/>
    <w:rsid w:val="008F32B8"/>
    <w:rsid w:val="0094293A"/>
    <w:rsid w:val="00954378"/>
    <w:rsid w:val="009778B3"/>
    <w:rsid w:val="00990BF9"/>
    <w:rsid w:val="009D70EF"/>
    <w:rsid w:val="00AD4CD6"/>
    <w:rsid w:val="00AF23D7"/>
    <w:rsid w:val="00AF6192"/>
    <w:rsid w:val="00B255DD"/>
    <w:rsid w:val="00BA780C"/>
    <w:rsid w:val="00BC63FC"/>
    <w:rsid w:val="00D34B90"/>
    <w:rsid w:val="00D4281F"/>
    <w:rsid w:val="00D94ECD"/>
    <w:rsid w:val="00DB4E35"/>
    <w:rsid w:val="00E67D39"/>
    <w:rsid w:val="00FA386D"/>
    <w:rsid w:val="0507241C"/>
    <w:rsid w:val="08290EB3"/>
    <w:rsid w:val="0FD95516"/>
    <w:rsid w:val="107F1488"/>
    <w:rsid w:val="11292E41"/>
    <w:rsid w:val="122B3096"/>
    <w:rsid w:val="1B431583"/>
    <w:rsid w:val="1D385D84"/>
    <w:rsid w:val="1F00736D"/>
    <w:rsid w:val="244F17C4"/>
    <w:rsid w:val="24C9685A"/>
    <w:rsid w:val="31CF3CF6"/>
    <w:rsid w:val="399C454B"/>
    <w:rsid w:val="3A652442"/>
    <w:rsid w:val="43EE21D3"/>
    <w:rsid w:val="47FA4B12"/>
    <w:rsid w:val="49576715"/>
    <w:rsid w:val="4C433D48"/>
    <w:rsid w:val="4EE5726A"/>
    <w:rsid w:val="5D4C0A06"/>
    <w:rsid w:val="5E3255D0"/>
    <w:rsid w:val="6EB877F5"/>
    <w:rsid w:val="71B0505E"/>
    <w:rsid w:val="77CF08F7"/>
    <w:rsid w:val="7DB51B83"/>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仿宋_GB2312" w:hAnsi="Calibri" w:eastAsia="仿宋_GB2312"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0"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nhideWhenUsed="0" w:uiPriority="0" w:semiHidden="0"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qFormat="1" w:unhideWhenUsed="0" w:uiPriority="0" w:semiHidden="0"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2"/>
    <w:basedOn w:val="1"/>
    <w:next w:val="1"/>
    <w:unhideWhenUsed/>
    <w:qFormat/>
    <w:uiPriority w:val="0"/>
    <w:pPr>
      <w:numPr>
        <w:ilvl w:val="1"/>
        <w:numId w:val="1"/>
      </w:numPr>
      <w:tabs>
        <w:tab w:val="left" w:pos="3285"/>
      </w:tabs>
      <w:ind w:firstLine="0" w:firstLineChars="0"/>
      <w:jc w:val="left"/>
      <w:outlineLvl w:val="1"/>
    </w:pPr>
    <w:rPr>
      <w:rFonts w:eastAsia="楷体"/>
      <w:b/>
      <w:sz w:val="32"/>
    </w:rPr>
  </w:style>
  <w:style w:type="paragraph" w:styleId="3">
    <w:name w:val="heading 3"/>
    <w:basedOn w:val="1"/>
    <w:next w:val="1"/>
    <w:unhideWhenUsed/>
    <w:qFormat/>
    <w:uiPriority w:val="9"/>
    <w:pPr>
      <w:keepNext/>
      <w:keepLines/>
      <w:numPr>
        <w:ilvl w:val="2"/>
        <w:numId w:val="2"/>
      </w:numPr>
      <w:adjustRightInd w:val="0"/>
      <w:spacing w:line="600" w:lineRule="exact"/>
      <w:ind w:left="0" w:firstLine="420" w:firstLineChars="200"/>
      <w:outlineLvl w:val="2"/>
    </w:pPr>
    <w:rPr>
      <w:rFonts w:ascii="Calibri" w:hAnsi="Calibri" w:eastAsia="仿宋_GB2312"/>
      <w:b/>
      <w:bCs/>
      <w:sz w:val="32"/>
      <w:szCs w:val="32"/>
    </w:rPr>
  </w:style>
  <w:style w:type="paragraph" w:styleId="4">
    <w:name w:val="heading 4"/>
    <w:basedOn w:val="1"/>
    <w:next w:val="1"/>
    <w:unhideWhenUsed/>
    <w:qFormat/>
    <w:uiPriority w:val="9"/>
    <w:pPr>
      <w:keepNext/>
      <w:keepLines/>
      <w:numPr>
        <w:ilvl w:val="3"/>
        <w:numId w:val="2"/>
      </w:numPr>
      <w:tabs>
        <w:tab w:val="left" w:pos="0"/>
      </w:tabs>
      <w:spacing w:beforeLines="0" w:beforeAutospacing="0" w:afterLines="0" w:afterAutospacing="0" w:line="600" w:lineRule="exact"/>
      <w:ind w:left="992" w:hanging="425" w:firstLineChars="0"/>
      <w:outlineLvl w:val="3"/>
    </w:pPr>
    <w:rPr>
      <w:rFonts w:ascii="Arial" w:hAnsi="Arial" w:cs="Times New Roman"/>
    </w:rPr>
  </w:style>
  <w:style w:type="character" w:default="1" w:styleId="14">
    <w:name w:val="Default Paragraph Font"/>
    <w:qFormat/>
    <w:uiPriority w:val="0"/>
  </w:style>
  <w:style w:type="table" w:default="1" w:styleId="13">
    <w:name w:val="Normal Table"/>
    <w:unhideWhenUsed/>
    <w:qFormat/>
    <w:uiPriority w:val="99"/>
    <w:tblPr>
      <w:tblCellMar>
        <w:top w:w="0" w:type="dxa"/>
        <w:left w:w="108" w:type="dxa"/>
        <w:bottom w:w="0" w:type="dxa"/>
        <w:right w:w="108" w:type="dxa"/>
      </w:tblCellMar>
    </w:tblPr>
  </w:style>
  <w:style w:type="paragraph" w:styleId="5">
    <w:name w:val="Body Text"/>
    <w:basedOn w:val="1"/>
    <w:next w:val="6"/>
    <w:link w:val="17"/>
    <w:qFormat/>
    <w:uiPriority w:val="0"/>
    <w:pPr>
      <w:widowControl/>
      <w:spacing w:after="120" w:afterLines="0"/>
      <w:jc w:val="left"/>
    </w:pPr>
    <w:rPr>
      <w:rFonts w:ascii="Times New Roman" w:hAnsi="Times New Roman"/>
      <w:szCs w:val="24"/>
    </w:rPr>
  </w:style>
  <w:style w:type="paragraph" w:styleId="6">
    <w:name w:val="toc 1"/>
    <w:basedOn w:val="1"/>
    <w:next w:val="1"/>
    <w:qFormat/>
    <w:uiPriority w:val="0"/>
  </w:style>
  <w:style w:type="paragraph" w:styleId="7">
    <w:name w:val="Block Text"/>
    <w:basedOn w:val="1"/>
    <w:qFormat/>
    <w:uiPriority w:val="0"/>
    <w:pPr>
      <w:spacing w:after="120" w:afterLines="0" w:afterAutospacing="0"/>
      <w:ind w:left="1440" w:leftChars="700" w:rightChars="700"/>
    </w:pPr>
  </w:style>
  <w:style w:type="paragraph" w:styleId="8">
    <w:name w:val="Plain Text"/>
    <w:basedOn w:val="1"/>
    <w:link w:val="18"/>
    <w:qFormat/>
    <w:uiPriority w:val="0"/>
    <w:rPr>
      <w:rFonts w:ascii="宋体" w:hAnsi="Courier New" w:eastAsia="仿宋_GB2312"/>
      <w:szCs w:val="21"/>
    </w:rPr>
  </w:style>
  <w:style w:type="paragraph" w:styleId="9">
    <w:name w:val="footer"/>
    <w:basedOn w:val="1"/>
    <w:link w:val="19"/>
    <w:qFormat/>
    <w:uiPriority w:val="0"/>
    <w:pPr>
      <w:tabs>
        <w:tab w:val="center" w:pos="4153"/>
        <w:tab w:val="right" w:pos="8306"/>
      </w:tabs>
      <w:snapToGrid w:val="0"/>
      <w:jc w:val="left"/>
    </w:pPr>
    <w:rPr>
      <w:rFonts w:ascii="仿宋_GB2312" w:eastAsia="仿宋_GB2312"/>
      <w:sz w:val="18"/>
      <w:szCs w:val="18"/>
    </w:rPr>
  </w:style>
  <w:style w:type="paragraph" w:styleId="10">
    <w:name w:val="header"/>
    <w:basedOn w:val="1"/>
    <w:link w:val="20"/>
    <w:qFormat/>
    <w:uiPriority w:val="0"/>
    <w:pPr>
      <w:tabs>
        <w:tab w:val="center" w:pos="4153"/>
        <w:tab w:val="right" w:pos="8306"/>
      </w:tabs>
      <w:snapToGrid w:val="0"/>
      <w:spacing w:line="620" w:lineRule="exact"/>
      <w:ind w:firstLine="200" w:firstLineChars="200"/>
      <w:jc w:val="center"/>
    </w:pPr>
    <w:rPr>
      <w:rFonts w:ascii="仿宋_GB2312" w:eastAsia="仿宋_GB2312"/>
      <w:sz w:val="18"/>
      <w:szCs w:val="18"/>
    </w:rPr>
  </w:style>
  <w:style w:type="paragraph" w:styleId="11">
    <w:name w:val="Subtitle"/>
    <w:basedOn w:val="1"/>
    <w:next w:val="1"/>
    <w:link w:val="21"/>
    <w:qFormat/>
    <w:uiPriority w:val="0"/>
    <w:pPr>
      <w:adjustRightInd w:val="0"/>
      <w:snapToGrid w:val="0"/>
      <w:spacing w:before="240" w:beforeLines="0" w:after="60" w:afterLines="0" w:line="312" w:lineRule="auto"/>
      <w:jc w:val="center"/>
    </w:pPr>
    <w:rPr>
      <w:rFonts w:ascii="Cambria" w:hAnsi="Cambria" w:eastAsia="黑体"/>
      <w:b/>
      <w:bCs/>
      <w:kern w:val="28"/>
      <w:sz w:val="24"/>
      <w:szCs w:val="32"/>
    </w:rPr>
  </w:style>
  <w:style w:type="paragraph" w:styleId="12">
    <w:name w:val="Normal (Web)"/>
    <w:basedOn w:val="1"/>
    <w:qFormat/>
    <w:uiPriority w:val="0"/>
    <w:pPr>
      <w:spacing w:before="100" w:beforeAutospacing="1" w:after="100" w:afterAutospacing="1"/>
      <w:ind w:left="0" w:right="0"/>
      <w:jc w:val="left"/>
    </w:pPr>
    <w:rPr>
      <w:kern w:val="0"/>
      <w:sz w:val="24"/>
      <w:lang w:val="en-US" w:eastAsia="zh-CN" w:bidi="ar"/>
    </w:rPr>
  </w:style>
  <w:style w:type="paragraph" w:customStyle="1" w:styleId="15">
    <w:name w:val="方案正文"/>
    <w:basedOn w:val="12"/>
    <w:qFormat/>
    <w:uiPriority w:val="0"/>
    <w:pPr>
      <w:widowControl/>
      <w:spacing w:beforeAutospacing="0" w:afterAutospacing="0" w:line="560" w:lineRule="exact"/>
    </w:pPr>
    <w:rPr>
      <w:rFonts w:ascii="仿宋" w:hAnsi="仿宋" w:cs="Times New Roman"/>
      <w:kern w:val="0"/>
      <w:sz w:val="28"/>
      <w:szCs w:val="32"/>
    </w:rPr>
  </w:style>
  <w:style w:type="paragraph" w:customStyle="1" w:styleId="16">
    <w:name w:val="Default"/>
    <w:qFormat/>
    <w:uiPriority w:val="0"/>
    <w:pPr>
      <w:widowControl w:val="0"/>
      <w:autoSpaceDE w:val="0"/>
      <w:autoSpaceDN w:val="0"/>
      <w:adjustRightInd w:val="0"/>
    </w:pPr>
    <w:rPr>
      <w:rFonts w:ascii="Univers 45 Light" w:hAnsi="Times New Roman" w:eastAsia="Univers 45 Light" w:cs="Univers 45 Light"/>
      <w:color w:val="000000"/>
      <w:sz w:val="24"/>
      <w:szCs w:val="24"/>
      <w:lang w:val="en-US" w:eastAsia="zh-CN" w:bidi="ar-SA"/>
    </w:rPr>
  </w:style>
  <w:style w:type="character" w:customStyle="1" w:styleId="17">
    <w:name w:val="正文文本 Char"/>
    <w:link w:val="5"/>
    <w:qFormat/>
    <w:uiPriority w:val="0"/>
    <w:rPr>
      <w:rFonts w:ascii="Times New Roman" w:hAnsi="Times New Roman" w:eastAsia="宋体"/>
      <w:kern w:val="2"/>
      <w:sz w:val="21"/>
      <w:szCs w:val="24"/>
    </w:rPr>
  </w:style>
  <w:style w:type="character" w:customStyle="1" w:styleId="18">
    <w:name w:val="纯文本 Char"/>
    <w:link w:val="8"/>
    <w:qFormat/>
    <w:uiPriority w:val="0"/>
    <w:rPr>
      <w:rFonts w:ascii="宋体" w:hAnsi="Courier New" w:cs="Courier New"/>
      <w:kern w:val="2"/>
      <w:sz w:val="21"/>
      <w:szCs w:val="21"/>
    </w:rPr>
  </w:style>
  <w:style w:type="character" w:customStyle="1" w:styleId="19">
    <w:name w:val="页脚 Char"/>
    <w:link w:val="9"/>
    <w:qFormat/>
    <w:uiPriority w:val="0"/>
    <w:rPr>
      <w:kern w:val="2"/>
      <w:sz w:val="18"/>
      <w:szCs w:val="18"/>
    </w:rPr>
  </w:style>
  <w:style w:type="character" w:customStyle="1" w:styleId="20">
    <w:name w:val="页眉 Char"/>
    <w:link w:val="10"/>
    <w:qFormat/>
    <w:uiPriority w:val="0"/>
    <w:rPr>
      <w:kern w:val="2"/>
      <w:sz w:val="18"/>
      <w:szCs w:val="18"/>
    </w:rPr>
  </w:style>
  <w:style w:type="character" w:customStyle="1" w:styleId="21">
    <w:name w:val="副标题 Char"/>
    <w:link w:val="11"/>
    <w:qFormat/>
    <w:uiPriority w:val="0"/>
    <w:rPr>
      <w:rFonts w:ascii="Cambria" w:hAnsi="Cambria" w:eastAsia="黑体"/>
      <w:b/>
      <w:bCs/>
      <w:kern w:val="28"/>
      <w:sz w:val="24"/>
      <w:szCs w:val="32"/>
    </w:rPr>
  </w:style>
  <w:style w:type="character" w:customStyle="1" w:styleId="22">
    <w:name w:val="纯文本 字符1"/>
    <w:qFormat/>
    <w:uiPriority w:val="0"/>
    <w:rPr>
      <w:rFonts w:ascii="宋体" w:hAnsi="Courier New" w:eastAsia="宋体" w:cs="Courier New"/>
      <w:kern w:val="2"/>
      <w:sz w:val="21"/>
      <w:szCs w:val="21"/>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MS</Company>
  <Pages>46</Pages>
  <Words>4627</Words>
  <Characters>5159</Characters>
  <Lines>7</Lines>
  <Paragraphs>2</Paragraphs>
  <TotalTime>1</TotalTime>
  <ScaleCrop>false</ScaleCrop>
  <LinksUpToDate>false</LinksUpToDate>
  <CharactersWithSpaces>5165</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2019-03-07T04:03:00Z</dcterms:created>
  <dc:creator>曾智强</dc:creator>
  <cp:lastModifiedBy>榆木❀</cp:lastModifiedBy>
  <cp:lastPrinted>2019-12-06T07:34:00Z</cp:lastPrinted>
  <dcterms:modified xsi:type="dcterms:W3CDTF">2025-10-23T09:18:06Z</dcterms:modified>
  <dc:title>内江市市中区乐贤工业集中区</dc:title>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A9C666BBFE194DECB98FCB3006806AC0_13</vt:lpwstr>
  </property>
  <property fmtid="{D5CDD505-2E9C-101B-9397-08002B2CF9AE}" pid="4" name="KSOTemplateDocerSaveRecord">
    <vt:lpwstr>eyJoZGlkIjoiZmQ5Y2IyMTQxZmU1MDRiZmFjZTc2NDg3YWEzZDRmZjciLCJ1c2VySWQiOiIzMTg0MzI4OTAifQ==</vt:lpwstr>
  </property>
</Properties>
</file>